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黑体" w:hAnsi="宋体" w:eastAsia="黑体"/>
          <w:color w:val="000000"/>
          <w:sz w:val="44"/>
          <w:szCs w:val="44"/>
        </w:rPr>
      </w:pPr>
    </w:p>
    <w:p>
      <w:pPr>
        <w:widowControl w:val="0"/>
        <w:wordWrap/>
        <w:adjustRightInd/>
        <w:snapToGrid/>
        <w:spacing w:line="1160" w:lineRule="exact"/>
        <w:ind w:firstLine="0" w:firstLineChars="0"/>
        <w:jc w:val="center"/>
        <w:textAlignment w:val="auto"/>
        <w:outlineLvl w:val="9"/>
        <w:rPr>
          <w:rFonts w:hint="eastAsia" w:ascii="宋体" w:hAnsi="宋体" w:eastAsia="宋体" w:cs="宋体"/>
          <w:b/>
          <w:bCs/>
          <w:color w:val="000000"/>
          <w:sz w:val="44"/>
          <w:szCs w:val="44"/>
        </w:rPr>
      </w:pPr>
      <w:r>
        <w:rPr>
          <w:rFonts w:hint="eastAsia" w:ascii="宋体" w:hAnsi="宋体" w:eastAsia="宋体" w:cs="宋体"/>
          <w:b/>
          <w:bCs/>
          <w:color w:val="000000"/>
          <w:sz w:val="44"/>
          <w:szCs w:val="44"/>
        </w:rPr>
        <w:t>宁夏文化艺术品产权交易中心</w:t>
      </w:r>
    </w:p>
    <w:p>
      <w:pPr>
        <w:widowControl w:val="0"/>
        <w:wordWrap/>
        <w:adjustRightInd/>
        <w:snapToGrid/>
        <w:spacing w:line="1160" w:lineRule="exact"/>
        <w:ind w:left="-594" w:leftChars="-270" w:right="88" w:rightChars="40" w:firstLine="0" w:firstLineChars="0"/>
        <w:jc w:val="center"/>
        <w:textAlignment w:val="auto"/>
        <w:outlineLvl w:val="9"/>
        <w:rPr>
          <w:rFonts w:hint="eastAsia" w:ascii="宋体" w:hAnsi="宋体" w:eastAsia="宋体" w:cs="宋体"/>
          <w:b/>
          <w:bCs/>
          <w:color w:val="000000"/>
          <w:sz w:val="48"/>
          <w:szCs w:val="48"/>
          <w:lang w:val="en-US" w:eastAsia="zh-CN"/>
        </w:rPr>
      </w:pPr>
      <w:r>
        <w:rPr>
          <w:rFonts w:hint="eastAsia" w:ascii="宋体" w:hAnsi="宋体" w:eastAsia="宋体" w:cs="宋体"/>
          <w:b/>
          <w:bCs/>
          <w:color w:val="000000"/>
          <w:sz w:val="48"/>
          <w:szCs w:val="48"/>
          <w:lang w:val="en-US" w:eastAsia="zh-CN"/>
        </w:rPr>
        <w:t>纪念章交</w:t>
      </w:r>
      <w:bookmarkStart w:id="0" w:name="_GoBack"/>
      <w:bookmarkEnd w:id="0"/>
      <w:r>
        <w:rPr>
          <w:rFonts w:hint="eastAsia" w:ascii="宋体" w:hAnsi="宋体" w:eastAsia="宋体" w:cs="宋体"/>
          <w:b/>
          <w:bCs/>
          <w:color w:val="000000"/>
          <w:sz w:val="48"/>
          <w:szCs w:val="48"/>
          <w:lang w:val="en-US" w:eastAsia="zh-CN"/>
        </w:rPr>
        <w:t>易平台</w:t>
      </w:r>
    </w:p>
    <w:p>
      <w:pPr>
        <w:jc w:val="center"/>
        <w:rPr>
          <w:rFonts w:ascii="黑体" w:hAnsi="宋体" w:eastAsia="黑体"/>
          <w:color w:val="000000"/>
          <w:sz w:val="44"/>
          <w:szCs w:val="44"/>
        </w:rPr>
      </w:pPr>
    </w:p>
    <w:p>
      <w:pPr>
        <w:jc w:val="center"/>
        <w:rPr>
          <w:rFonts w:ascii="黑体" w:hAnsi="宋体" w:eastAsia="黑体"/>
          <w:color w:val="000000"/>
          <w:sz w:val="36"/>
          <w:szCs w:val="36"/>
        </w:rPr>
      </w:pPr>
    </w:p>
    <w:p>
      <w:pPr>
        <w:jc w:val="center"/>
        <w:rPr>
          <w:rFonts w:ascii="黑体" w:hAnsi="宋体" w:eastAsia="黑体"/>
          <w:color w:val="000000"/>
          <w:sz w:val="72"/>
          <w:szCs w:val="72"/>
        </w:rPr>
      </w:pPr>
      <w:r>
        <w:rPr>
          <w:rFonts w:hint="eastAsia" w:ascii="黑体" w:hAnsi="宋体" w:eastAsia="黑体" w:cs="黑体"/>
          <w:color w:val="000000"/>
          <w:sz w:val="72"/>
          <w:szCs w:val="72"/>
        </w:rPr>
        <w:t>投资人会员入市申请表</w:t>
      </w:r>
    </w:p>
    <w:p>
      <w:pPr>
        <w:spacing w:line="360" w:lineRule="auto"/>
        <w:rPr>
          <w:rFonts w:hint="eastAsia" w:ascii="宋体" w:hAnsi="宋体" w:cs="宋体"/>
          <w:b/>
          <w:bCs/>
          <w:color w:val="000000"/>
        </w:rPr>
      </w:pPr>
      <w:r>
        <w:rPr>
          <w:rFonts w:hint="eastAsia" w:ascii="宋体" w:hAnsi="宋体" w:cs="宋体"/>
          <w:b/>
          <w:bCs/>
          <w:color w:val="000000"/>
        </w:rPr>
        <w:t>重要提示</w:t>
      </w:r>
      <w:r>
        <w:rPr>
          <w:rFonts w:ascii="宋体" w:hAnsi="宋体" w:cs="宋体"/>
          <w:b/>
          <w:bCs/>
          <w:color w:val="000000"/>
        </w:rPr>
        <w:t xml:space="preserve">: </w:t>
      </w:r>
      <w:r>
        <w:rPr>
          <w:rFonts w:hint="eastAsia" w:ascii="宋体" w:hAnsi="宋体" w:cs="宋体"/>
          <w:b/>
          <w:bCs/>
          <w:color w:val="000000"/>
        </w:rPr>
        <w:t>本申请书所填信息十分重要，请认真谨慎地按要求完整填写表格内信息，以保证投资人会员入市申请流程的顺利进行。本中心有权拒绝接受不符合要求的申请表格。</w:t>
      </w:r>
    </w:p>
    <w:p>
      <w:pPr>
        <w:spacing w:line="360" w:lineRule="auto"/>
        <w:rPr>
          <w:rFonts w:ascii="宋体" w:cs="宋体"/>
          <w:b/>
          <w:bCs/>
          <w:color w:val="000000"/>
        </w:rPr>
      </w:pPr>
    </w:p>
    <w:p>
      <w:pPr>
        <w:spacing w:line="480" w:lineRule="auto"/>
        <w:jc w:val="center"/>
        <w:rPr>
          <w:rFonts w:ascii="宋体"/>
          <w:b/>
          <w:bCs/>
          <w:sz w:val="32"/>
          <w:szCs w:val="32"/>
        </w:rPr>
      </w:pPr>
      <w:r>
        <w:rPr>
          <w:rFonts w:hint="eastAsia" w:ascii="宋体" w:hAnsi="宋体" w:cs="宋体"/>
          <w:b/>
          <w:color w:val="000000"/>
          <w:sz w:val="32"/>
          <w:szCs w:val="32"/>
        </w:rPr>
        <w:t>申请人须知</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为规范宁夏文化艺术品产权交易中心投资人会员入市交易的相关事宜，根据《中华人民共和国民法通则》等相关法律法规及《宁夏文化艺术品产权交易中心交易规则》（暂行）制定本申请书。</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本申请书适用于所有在宁夏文化艺术品产权交易中心（以下简称本中心）申请入市交易的投资人。</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在本中心参与交易的投资人必须是年满</w:t>
      </w:r>
      <w:r>
        <w:rPr>
          <w:rFonts w:ascii="宋体" w:hAnsi="宋体" w:cs="宋体"/>
          <w:color w:val="000000"/>
          <w:sz w:val="20"/>
          <w:szCs w:val="24"/>
        </w:rPr>
        <w:t>18</w:t>
      </w:r>
      <w:r>
        <w:rPr>
          <w:rFonts w:hint="eastAsia" w:ascii="宋体" w:hAnsi="宋体" w:cs="宋体"/>
          <w:color w:val="000000"/>
          <w:sz w:val="20"/>
          <w:szCs w:val="24"/>
        </w:rPr>
        <w:t>周岁且居住在中华人民共和国公民。</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在本中心进行交易的投资人必须具有完全民事行为能力。</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在本中心进行交易的投资人必须对相关市场有必要的了解与风险认知。</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在本中心进行交易的投资人必须具有两年或两年以上高风险投资领域的投资经验，具有较高的风险识别能力和风险承受能力。</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在本中心进行交易的投资人必须具有一定的计算机操作能力和互联网应用能力。</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本中心进行交易的投资人必须认真阅读并同意遵守相关交易规则和细则，对本中心的交易模式有充分的理解。</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在本中心进行交易的投资人必须认真阅读并接受本中心公示的《宁夏文化艺术品产权交易中心投资人会员交易风险提示书》。</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在本中心进行交易的投资人必须与本中心签订《宁夏文化艺术品产权交易中心投资人会员入市协议》。</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在本中心进行交易的投资人的开户资金不得低于本中心规定数额。</w:t>
      </w:r>
    </w:p>
    <w:p>
      <w:pPr>
        <w:numPr>
          <w:ilvl w:val="0"/>
          <w:numId w:val="1"/>
        </w:numPr>
        <w:snapToGrid w:val="0"/>
        <w:spacing w:line="360" w:lineRule="auto"/>
        <w:rPr>
          <w:rFonts w:ascii="宋体"/>
          <w:color w:val="000000"/>
          <w:sz w:val="20"/>
          <w:szCs w:val="24"/>
        </w:rPr>
      </w:pPr>
      <w:r>
        <w:rPr>
          <w:rFonts w:hint="eastAsia" w:ascii="宋体" w:hAnsi="宋体" w:cs="宋体"/>
          <w:color w:val="000000"/>
          <w:sz w:val="20"/>
          <w:szCs w:val="24"/>
        </w:rPr>
        <w:t>本中心规定的其他条件。</w:t>
      </w:r>
    </w:p>
    <w:p>
      <w:pPr>
        <w:snapToGrid w:val="0"/>
        <w:spacing w:line="360" w:lineRule="auto"/>
        <w:rPr>
          <w:rFonts w:ascii="新宋体" w:hAnsi="新宋体" w:eastAsia="新宋体"/>
          <w:color w:val="000000"/>
        </w:rPr>
      </w:pPr>
    </w:p>
    <w:p>
      <w:pPr>
        <w:snapToGrid w:val="0"/>
        <w:spacing w:line="360" w:lineRule="auto"/>
        <w:rPr>
          <w:rFonts w:ascii="新宋体" w:hAnsi="新宋体" w:eastAsia="新宋体"/>
          <w:color w:val="000000"/>
        </w:rPr>
      </w:pPr>
      <w:r>
        <w:rPr>
          <w:rFonts w:ascii="新宋体" w:hAnsi="新宋体" w:eastAsia="新宋体"/>
          <w:color w:val="000000"/>
        </w:rPr>
        <w:br w:type="page"/>
      </w:r>
    </w:p>
    <w:tbl>
      <w:tblPr>
        <w:tblStyle w:val="7"/>
        <w:tblW w:w="8520" w:type="dxa"/>
        <w:tblInd w:w="-1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
      <w:tblGrid>
        <w:gridCol w:w="1273"/>
        <w:gridCol w:w="3254"/>
        <w:gridCol w:w="984"/>
        <w:gridCol w:w="96"/>
        <w:gridCol w:w="998"/>
        <w:gridCol w:w="19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545" w:hRule="atLeast"/>
        </w:trPr>
        <w:tc>
          <w:tcPr>
            <w:tcW w:w="8520" w:type="dxa"/>
            <w:gridSpan w:val="6"/>
            <w:vAlign w:val="center"/>
          </w:tcPr>
          <w:p>
            <w:pPr>
              <w:autoSpaceDN w:val="0"/>
              <w:jc w:val="center"/>
              <w:textAlignment w:val="center"/>
              <w:rPr>
                <w:rFonts w:ascii="宋体"/>
                <w:b/>
                <w:bCs/>
                <w:color w:val="000000"/>
                <w:sz w:val="30"/>
                <w:szCs w:val="30"/>
              </w:rPr>
            </w:pPr>
            <w:r>
              <w:rPr>
                <w:rFonts w:hint="eastAsia" w:ascii="宋体" w:hAnsi="宋体" w:cs="宋体"/>
                <w:b/>
                <w:bCs/>
                <w:sz w:val="30"/>
                <w:szCs w:val="30"/>
              </w:rPr>
              <w:t>入市</w:t>
            </w:r>
            <w:r>
              <w:rPr>
                <w:rFonts w:hint="eastAsia" w:ascii="宋体" w:hAnsi="宋体" w:cs="宋体"/>
                <w:b/>
                <w:bCs/>
                <w:color w:val="000000"/>
                <w:sz w:val="30"/>
                <w:szCs w:val="30"/>
              </w:rPr>
              <w:t>申请表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8520" w:type="dxa"/>
            <w:gridSpan w:val="6"/>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宋体"/>
                <w:color w:val="000000"/>
                <w:sz w:val="20"/>
                <w:szCs w:val="20"/>
              </w:rPr>
            </w:pPr>
            <w:r>
              <w:rPr>
                <w:rFonts w:hint="eastAsia" w:ascii="宋体"/>
                <w:color w:val="000000"/>
                <w:sz w:val="20"/>
                <w:szCs w:val="20"/>
              </w:rPr>
              <w:t>个人投资人：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姓</w:t>
            </w:r>
            <w:r>
              <w:rPr>
                <w:rFonts w:ascii="宋体" w:hAnsi="宋体" w:cs="宋体"/>
                <w:color w:val="000000"/>
                <w:sz w:val="20"/>
                <w:szCs w:val="20"/>
              </w:rPr>
              <w:t xml:space="preserve">    </w:t>
            </w:r>
            <w:r>
              <w:rPr>
                <w:rFonts w:hint="eastAsia" w:ascii="宋体" w:hAnsi="宋体" w:cs="宋体"/>
                <w:color w:val="000000"/>
                <w:sz w:val="20"/>
                <w:szCs w:val="20"/>
              </w:rPr>
              <w:t>名</w:t>
            </w:r>
          </w:p>
        </w:tc>
        <w:tc>
          <w:tcPr>
            <w:tcW w:w="4238"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p>
        </w:tc>
        <w:tc>
          <w:tcPr>
            <w:tcW w:w="1094"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性</w:t>
            </w:r>
            <w:r>
              <w:rPr>
                <w:rFonts w:ascii="宋体" w:hAnsi="宋体" w:cs="宋体"/>
                <w:color w:val="000000"/>
                <w:sz w:val="20"/>
                <w:szCs w:val="20"/>
              </w:rPr>
              <w:t xml:space="preserve">    </w:t>
            </w:r>
            <w:r>
              <w:rPr>
                <w:rFonts w:hint="eastAsia" w:ascii="宋体" w:hAnsi="宋体" w:cs="宋体"/>
                <w:color w:val="000000"/>
                <w:sz w:val="20"/>
                <w:szCs w:val="20"/>
              </w:rPr>
              <w:t>别</w:t>
            </w:r>
          </w:p>
        </w:tc>
        <w:tc>
          <w:tcPr>
            <w:tcW w:w="1915" w:type="dxa"/>
            <w:tcBorders>
              <w:top w:val="single" w:color="000000" w:sz="4" w:space="0"/>
              <w:left w:val="single" w:color="000000" w:sz="4" w:space="0"/>
              <w:bottom w:val="single" w:color="000000" w:sz="4" w:space="0"/>
              <w:right w:val="single" w:color="000000" w:sz="4" w:space="0"/>
            </w:tcBorders>
            <w:vAlign w:val="center"/>
          </w:tcPr>
          <w:p>
            <w:pPr>
              <w:autoSpaceDN w:val="0"/>
              <w:textAlignment w:val="cente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住</w:t>
            </w:r>
            <w:r>
              <w:rPr>
                <w:rFonts w:ascii="宋体" w:hAnsi="宋体" w:cs="宋体"/>
                <w:color w:val="000000"/>
                <w:sz w:val="20"/>
                <w:szCs w:val="20"/>
              </w:rPr>
              <w:t xml:space="preserve">    </w:t>
            </w:r>
            <w:r>
              <w:rPr>
                <w:rFonts w:hint="eastAsia" w:ascii="宋体" w:hAnsi="宋体" w:cs="宋体"/>
                <w:color w:val="000000"/>
                <w:sz w:val="20"/>
                <w:szCs w:val="20"/>
              </w:rPr>
              <w:t>址</w:t>
            </w:r>
          </w:p>
        </w:tc>
        <w:tc>
          <w:tcPr>
            <w:tcW w:w="4238"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p>
        </w:tc>
        <w:tc>
          <w:tcPr>
            <w:tcW w:w="1094"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邮</w:t>
            </w:r>
            <w:r>
              <w:rPr>
                <w:rFonts w:ascii="宋体" w:hAnsi="宋体" w:cs="宋体"/>
                <w:color w:val="000000"/>
                <w:sz w:val="20"/>
                <w:szCs w:val="20"/>
              </w:rPr>
              <w:t xml:space="preserve">    </w:t>
            </w:r>
            <w:r>
              <w:rPr>
                <w:rFonts w:hint="eastAsia" w:ascii="宋体" w:hAnsi="宋体" w:cs="宋体"/>
                <w:color w:val="000000"/>
                <w:sz w:val="20"/>
                <w:szCs w:val="20"/>
              </w:rPr>
              <w:t>编</w:t>
            </w:r>
          </w:p>
        </w:tc>
        <w:tc>
          <w:tcPr>
            <w:tcW w:w="1915" w:type="dxa"/>
            <w:tcBorders>
              <w:top w:val="single" w:color="000000" w:sz="4" w:space="0"/>
              <w:left w:val="single" w:color="000000" w:sz="4" w:space="0"/>
              <w:bottom w:val="single" w:color="000000" w:sz="4" w:space="0"/>
              <w:right w:val="single" w:color="000000" w:sz="4" w:space="0"/>
            </w:tcBorders>
            <w:vAlign w:val="center"/>
          </w:tcPr>
          <w:p>
            <w:pP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身份证号</w:t>
            </w:r>
          </w:p>
        </w:tc>
        <w:tc>
          <w:tcPr>
            <w:tcW w:w="4238"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p>
        </w:tc>
        <w:tc>
          <w:tcPr>
            <w:tcW w:w="1094" w:type="dxa"/>
            <w:gridSpan w:val="2"/>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手机号码</w:t>
            </w:r>
          </w:p>
        </w:tc>
        <w:tc>
          <w:tcPr>
            <w:tcW w:w="1915" w:type="dxa"/>
            <w:tcBorders>
              <w:top w:val="single" w:color="000000" w:sz="4" w:space="0"/>
              <w:left w:val="single" w:color="000000" w:sz="4" w:space="0"/>
              <w:bottom w:val="single" w:color="000000" w:sz="4" w:space="0"/>
              <w:right w:val="single" w:color="000000" w:sz="4" w:space="0"/>
            </w:tcBorders>
            <w:vAlign w:val="center"/>
          </w:tcPr>
          <w:p>
            <w:pP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8520" w:type="dxa"/>
            <w:gridSpan w:val="6"/>
            <w:tcBorders>
              <w:top w:val="single" w:color="000000" w:sz="4" w:space="0"/>
              <w:left w:val="single" w:color="000000" w:sz="4" w:space="0"/>
              <w:bottom w:val="single" w:color="000000" w:sz="4" w:space="0"/>
              <w:right w:val="single" w:color="000000" w:sz="4" w:space="0"/>
            </w:tcBorders>
            <w:vAlign w:val="center"/>
          </w:tcPr>
          <w:p>
            <w:pPr>
              <w:rPr>
                <w:rFonts w:ascii="宋体"/>
                <w:color w:val="000000"/>
                <w:sz w:val="20"/>
                <w:szCs w:val="20"/>
              </w:rPr>
            </w:pPr>
            <w:r>
              <w:rPr>
                <w:rFonts w:hint="eastAsia" w:ascii="宋体"/>
                <w:color w:val="000000"/>
                <w:sz w:val="20"/>
                <w:szCs w:val="20"/>
              </w:rPr>
              <w:t>机构投资人：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s="宋体"/>
                <w:color w:val="000000"/>
                <w:sz w:val="20"/>
                <w:szCs w:val="20"/>
              </w:rPr>
            </w:pPr>
            <w:r>
              <w:rPr>
                <w:rFonts w:hint="eastAsia" w:ascii="宋体" w:hAnsi="宋体" w:cs="宋体"/>
                <w:color w:val="000000"/>
                <w:sz w:val="20"/>
                <w:szCs w:val="20"/>
              </w:rPr>
              <w:t>公司名称</w:t>
            </w:r>
          </w:p>
        </w:tc>
        <w:tc>
          <w:tcPr>
            <w:tcW w:w="7247" w:type="dxa"/>
            <w:gridSpan w:val="5"/>
            <w:tcBorders>
              <w:top w:val="single" w:color="000000" w:sz="4" w:space="0"/>
              <w:left w:val="single" w:color="000000" w:sz="4" w:space="0"/>
              <w:bottom w:val="single" w:color="000000" w:sz="4" w:space="0"/>
              <w:right w:val="single" w:color="000000" w:sz="4" w:space="0"/>
            </w:tcBorders>
            <w:vAlign w:val="center"/>
          </w:tcPr>
          <w:p>
            <w:pP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000000" w:sz="4" w:space="0"/>
              <w:left w:val="single" w:color="000000" w:sz="4" w:space="0"/>
              <w:bottom w:val="single" w:color="000000" w:sz="4" w:space="0"/>
              <w:right w:val="single" w:color="000000" w:sz="4" w:space="0"/>
            </w:tcBorders>
            <w:vAlign w:val="center"/>
          </w:tcPr>
          <w:p>
            <w:pPr>
              <w:autoSpaceDN w:val="0"/>
              <w:ind w:firstLine="200" w:firstLineChars="100"/>
              <w:textAlignment w:val="center"/>
              <w:rPr>
                <w:rFonts w:ascii="宋体" w:cs="宋体"/>
                <w:color w:val="000000"/>
                <w:sz w:val="20"/>
                <w:szCs w:val="20"/>
              </w:rPr>
            </w:pPr>
            <w:r>
              <w:rPr>
                <w:rFonts w:hint="eastAsia" w:ascii="宋体" w:hAnsi="宋体" w:cs="宋体"/>
                <w:color w:val="000000"/>
                <w:sz w:val="20"/>
                <w:szCs w:val="20"/>
              </w:rPr>
              <w:t>营业执照</w:t>
            </w:r>
          </w:p>
        </w:tc>
        <w:tc>
          <w:tcPr>
            <w:tcW w:w="3254" w:type="dxa"/>
            <w:tcBorders>
              <w:top w:val="single" w:color="000000" w:sz="4" w:space="0"/>
              <w:left w:val="single" w:color="000000" w:sz="4" w:space="0"/>
              <w:bottom w:val="single" w:color="000000" w:sz="4" w:space="0"/>
              <w:right w:val="single" w:color="auto" w:sz="4" w:space="0"/>
            </w:tcBorders>
            <w:vAlign w:val="center"/>
          </w:tcPr>
          <w:p>
            <w:pPr>
              <w:rPr>
                <w:rFonts w:ascii="宋体"/>
                <w:color w:val="000000"/>
                <w:sz w:val="20"/>
                <w:szCs w:val="20"/>
              </w:rPr>
            </w:pPr>
          </w:p>
        </w:tc>
        <w:tc>
          <w:tcPr>
            <w:tcW w:w="1080" w:type="dxa"/>
            <w:gridSpan w:val="2"/>
            <w:tcBorders>
              <w:top w:val="single" w:color="000000" w:sz="4" w:space="0"/>
              <w:left w:val="single" w:color="auto" w:sz="4" w:space="0"/>
              <w:bottom w:val="single" w:color="000000" w:sz="4" w:space="0"/>
              <w:right w:val="single" w:color="auto" w:sz="4" w:space="0"/>
            </w:tcBorders>
            <w:vAlign w:val="center"/>
          </w:tcPr>
          <w:p>
            <w:pPr>
              <w:rPr>
                <w:rFonts w:ascii="宋体"/>
                <w:color w:val="000000"/>
                <w:sz w:val="20"/>
                <w:szCs w:val="20"/>
              </w:rPr>
            </w:pPr>
            <w:r>
              <w:rPr>
                <w:rFonts w:hint="eastAsia" w:ascii="宋体"/>
                <w:color w:val="000000"/>
                <w:sz w:val="20"/>
                <w:szCs w:val="20"/>
              </w:rPr>
              <w:t>组织机构代码证</w:t>
            </w:r>
          </w:p>
        </w:tc>
        <w:tc>
          <w:tcPr>
            <w:tcW w:w="2913"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auto" w:sz="4" w:space="0"/>
              <w:left w:val="single" w:color="000000" w:sz="4" w:space="0"/>
              <w:bottom w:val="single" w:color="000000" w:sz="4" w:space="0"/>
              <w:right w:val="single" w:color="auto" w:sz="4" w:space="0"/>
            </w:tcBorders>
            <w:vAlign w:val="center"/>
          </w:tcPr>
          <w:p>
            <w:pPr>
              <w:autoSpaceDN w:val="0"/>
              <w:jc w:val="center"/>
              <w:textAlignment w:val="center"/>
              <w:rPr>
                <w:rFonts w:ascii="宋体" w:cs="宋体"/>
                <w:color w:val="000000"/>
                <w:sz w:val="20"/>
                <w:szCs w:val="20"/>
              </w:rPr>
            </w:pPr>
            <w:r>
              <w:rPr>
                <w:rFonts w:hint="eastAsia" w:ascii="宋体" w:hAnsi="宋体" w:cs="宋体"/>
                <w:color w:val="000000"/>
                <w:sz w:val="20"/>
                <w:szCs w:val="20"/>
              </w:rPr>
              <w:t>税务登记证</w:t>
            </w:r>
          </w:p>
        </w:tc>
        <w:tc>
          <w:tcPr>
            <w:tcW w:w="3254" w:type="dxa"/>
            <w:tcBorders>
              <w:top w:val="single" w:color="auto" w:sz="4" w:space="0"/>
              <w:left w:val="single" w:color="auto" w:sz="4" w:space="0"/>
              <w:bottom w:val="single" w:color="000000" w:sz="4" w:space="0"/>
              <w:right w:val="single" w:color="auto" w:sz="4" w:space="0"/>
            </w:tcBorders>
            <w:vAlign w:val="center"/>
          </w:tcPr>
          <w:p>
            <w:pPr>
              <w:rPr>
                <w:rFonts w:ascii="宋体"/>
                <w:color w:val="000000"/>
                <w:sz w:val="20"/>
                <w:szCs w:val="20"/>
              </w:rPr>
            </w:pPr>
          </w:p>
        </w:tc>
        <w:tc>
          <w:tcPr>
            <w:tcW w:w="1080" w:type="dxa"/>
            <w:gridSpan w:val="2"/>
            <w:tcBorders>
              <w:top w:val="single" w:color="auto" w:sz="4" w:space="0"/>
              <w:left w:val="single" w:color="auto" w:sz="4" w:space="0"/>
              <w:bottom w:val="single" w:color="000000" w:sz="4" w:space="0"/>
              <w:right w:val="single" w:color="auto" w:sz="4" w:space="0"/>
            </w:tcBorders>
            <w:vAlign w:val="center"/>
          </w:tcPr>
          <w:p>
            <w:pPr>
              <w:rPr>
                <w:rFonts w:ascii="宋体"/>
                <w:color w:val="000000"/>
                <w:sz w:val="20"/>
                <w:szCs w:val="20"/>
              </w:rPr>
            </w:pPr>
            <w:r>
              <w:rPr>
                <w:rFonts w:hint="eastAsia" w:ascii="宋体"/>
                <w:color w:val="000000"/>
                <w:sz w:val="20"/>
                <w:szCs w:val="20"/>
              </w:rPr>
              <w:t>法人</w:t>
            </w:r>
          </w:p>
        </w:tc>
        <w:tc>
          <w:tcPr>
            <w:tcW w:w="2913" w:type="dxa"/>
            <w:gridSpan w:val="2"/>
            <w:tcBorders>
              <w:top w:val="single" w:color="auto" w:sz="4" w:space="0"/>
              <w:left w:val="single" w:color="auto" w:sz="4" w:space="0"/>
              <w:bottom w:val="single" w:color="000000" w:sz="4" w:space="0"/>
              <w:right w:val="single" w:color="000000" w:sz="4" w:space="0"/>
            </w:tcBorders>
            <w:vAlign w:val="center"/>
          </w:tcPr>
          <w:p>
            <w:pP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000000" w:sz="4" w:space="0"/>
              <w:left w:val="single" w:color="000000" w:sz="4" w:space="0"/>
              <w:bottom w:val="single" w:color="000000" w:sz="4" w:space="0"/>
              <w:right w:val="single" w:color="auto" w:sz="4" w:space="0"/>
            </w:tcBorders>
            <w:vAlign w:val="center"/>
          </w:tcPr>
          <w:p>
            <w:pPr>
              <w:rPr>
                <w:rFonts w:ascii="宋体"/>
                <w:color w:val="000000"/>
                <w:sz w:val="20"/>
                <w:szCs w:val="20"/>
              </w:rPr>
            </w:pPr>
            <w:r>
              <w:rPr>
                <w:rFonts w:hint="eastAsia" w:ascii="宋体"/>
                <w:color w:val="000000"/>
                <w:sz w:val="20"/>
                <w:szCs w:val="20"/>
              </w:rPr>
              <w:t>公司地址</w:t>
            </w:r>
          </w:p>
        </w:tc>
        <w:tc>
          <w:tcPr>
            <w:tcW w:w="3254" w:type="dxa"/>
            <w:tcBorders>
              <w:top w:val="single" w:color="000000" w:sz="4" w:space="0"/>
              <w:left w:val="single" w:color="auto" w:sz="4" w:space="0"/>
              <w:bottom w:val="single" w:color="000000" w:sz="4" w:space="0"/>
              <w:right w:val="single" w:color="auto" w:sz="4" w:space="0"/>
            </w:tcBorders>
            <w:vAlign w:val="center"/>
          </w:tcPr>
          <w:p>
            <w:pPr>
              <w:rPr>
                <w:rFonts w:ascii="宋体"/>
                <w:color w:val="000000"/>
                <w:sz w:val="20"/>
                <w:szCs w:val="20"/>
              </w:rPr>
            </w:pPr>
          </w:p>
        </w:tc>
        <w:tc>
          <w:tcPr>
            <w:tcW w:w="1080" w:type="dxa"/>
            <w:gridSpan w:val="2"/>
            <w:tcBorders>
              <w:top w:val="single" w:color="000000" w:sz="4" w:space="0"/>
              <w:left w:val="single" w:color="auto" w:sz="4" w:space="0"/>
              <w:bottom w:val="single" w:color="000000" w:sz="4" w:space="0"/>
              <w:right w:val="single" w:color="auto" w:sz="4" w:space="0"/>
            </w:tcBorders>
            <w:vAlign w:val="center"/>
          </w:tcPr>
          <w:p>
            <w:pPr>
              <w:rPr>
                <w:rFonts w:ascii="宋体"/>
                <w:color w:val="000000"/>
                <w:sz w:val="20"/>
                <w:szCs w:val="20"/>
              </w:rPr>
            </w:pPr>
            <w:r>
              <w:rPr>
                <w:rFonts w:hint="eastAsia" w:ascii="宋体"/>
                <w:color w:val="000000"/>
                <w:sz w:val="20"/>
                <w:szCs w:val="20"/>
              </w:rPr>
              <w:t>联系方式</w:t>
            </w:r>
          </w:p>
        </w:tc>
        <w:tc>
          <w:tcPr>
            <w:tcW w:w="2913"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8520" w:type="dxa"/>
            <w:gridSpan w:val="6"/>
            <w:tcBorders>
              <w:top w:val="single" w:color="000000" w:sz="4" w:space="0"/>
              <w:left w:val="single" w:color="000000" w:sz="4" w:space="0"/>
              <w:bottom w:val="single" w:color="000000" w:sz="4" w:space="0"/>
              <w:right w:val="single" w:color="000000" w:sz="4" w:space="0"/>
            </w:tcBorders>
            <w:vAlign w:val="center"/>
          </w:tcPr>
          <w:p>
            <w:pPr>
              <w:rPr>
                <w:rFonts w:ascii="宋体"/>
                <w:color w:val="000000"/>
                <w:sz w:val="20"/>
                <w:szCs w:val="20"/>
              </w:rPr>
            </w:pPr>
            <w:r>
              <w:rPr>
                <w:rFonts w:hint="eastAsia" w:ascii="宋体"/>
                <w:color w:val="000000"/>
                <w:sz w:val="20"/>
                <w:szCs w:val="20"/>
              </w:rPr>
              <w:t>绑定银行资金账户信息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开户银行</w:t>
            </w:r>
          </w:p>
        </w:tc>
        <w:tc>
          <w:tcPr>
            <w:tcW w:w="7247" w:type="dxa"/>
            <w:gridSpan w:val="5"/>
            <w:tcBorders>
              <w:top w:val="single" w:color="000000" w:sz="4" w:space="0"/>
              <w:left w:val="single" w:color="000000" w:sz="4" w:space="0"/>
              <w:bottom w:val="single" w:color="000000" w:sz="4" w:space="0"/>
              <w:right w:val="single" w:color="000000" w:sz="4" w:space="0"/>
            </w:tcBorders>
            <w:vAlign w:val="center"/>
          </w:tcPr>
          <w:p>
            <w:pP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银行账号</w:t>
            </w:r>
          </w:p>
        </w:tc>
        <w:tc>
          <w:tcPr>
            <w:tcW w:w="7247" w:type="dxa"/>
            <w:gridSpan w:val="5"/>
            <w:tcBorders>
              <w:top w:val="single" w:color="000000" w:sz="4" w:space="0"/>
              <w:left w:val="single" w:color="000000" w:sz="4" w:space="0"/>
              <w:bottom w:val="single" w:color="000000" w:sz="4" w:space="0"/>
              <w:right w:val="single" w:color="000000" w:sz="4" w:space="0"/>
            </w:tcBorders>
            <w:vAlign w:val="center"/>
          </w:tcPr>
          <w:p>
            <w:pPr>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8520" w:type="dxa"/>
            <w:gridSpan w:val="6"/>
            <w:tcBorders>
              <w:top w:val="single" w:color="000000" w:sz="4" w:space="0"/>
              <w:left w:val="single" w:color="000000" w:sz="4" w:space="0"/>
              <w:right w:val="single" w:color="000000" w:sz="4" w:space="0"/>
            </w:tcBorders>
            <w:vAlign w:val="center"/>
          </w:tcPr>
          <w:p>
            <w:pPr>
              <w:autoSpaceDN w:val="0"/>
              <w:jc w:val="left"/>
              <w:textAlignment w:val="center"/>
              <w:rPr>
                <w:rFonts w:ascii="宋体"/>
                <w:color w:val="000000"/>
                <w:sz w:val="20"/>
                <w:szCs w:val="20"/>
              </w:rPr>
            </w:pPr>
            <w:r>
              <w:rPr>
                <w:rFonts w:hint="eastAsia" w:ascii="宋体" w:hAnsi="宋体" w:cs="宋体"/>
                <w:color w:val="000000"/>
                <w:sz w:val="20"/>
                <w:szCs w:val="20"/>
              </w:rPr>
              <w:t>申请人承诺：</w:t>
            </w:r>
            <w:r>
              <w:rPr>
                <w:rFonts w:ascii="宋体" w:hAnsi="宋体" w:cs="宋体"/>
                <w:color w:val="000000"/>
                <w:sz w:val="20"/>
                <w:szCs w:val="2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312" w:hRule="atLeast"/>
        </w:trPr>
        <w:tc>
          <w:tcPr>
            <w:tcW w:w="8520" w:type="dxa"/>
            <w:gridSpan w:val="6"/>
            <w:vMerge w:val="restart"/>
            <w:tcBorders>
              <w:left w:val="single" w:color="000000" w:sz="4" w:space="0"/>
              <w:right w:val="single" w:color="000000" w:sz="4" w:space="0"/>
            </w:tcBorders>
            <w:vAlign w:val="center"/>
          </w:tcPr>
          <w:p>
            <w:pPr>
              <w:autoSpaceDN w:val="0"/>
              <w:jc w:val="left"/>
              <w:textAlignment w:val="center"/>
              <w:rPr>
                <w:rFonts w:ascii="宋体"/>
                <w:color w:val="000000"/>
                <w:sz w:val="20"/>
                <w:szCs w:val="20"/>
              </w:rPr>
            </w:pPr>
            <w:r>
              <w:rPr>
                <w:rFonts w:hint="eastAsia" w:ascii="宋体" w:hAnsi="宋体" w:cs="宋体"/>
                <w:color w:val="000000"/>
                <w:sz w:val="20"/>
                <w:szCs w:val="20"/>
              </w:rPr>
              <w:t>　</w:t>
            </w:r>
            <w:r>
              <w:rPr>
                <w:rFonts w:ascii="宋体" w:hAnsi="宋体" w:cs="宋体"/>
                <w:color w:val="000000"/>
                <w:sz w:val="20"/>
                <w:szCs w:val="20"/>
              </w:rPr>
              <w:t xml:space="preserve">  </w:t>
            </w:r>
            <w:r>
              <w:rPr>
                <w:rFonts w:hint="eastAsia" w:ascii="宋体" w:hAnsi="宋体" w:cs="宋体"/>
                <w:color w:val="000000"/>
                <w:sz w:val="20"/>
                <w:szCs w:val="20"/>
              </w:rPr>
              <w:t>本人已经仔细阅读并完全正确理解《宁夏文化艺术品产权交易中心交易规则》（暂行）及其相关文件和规定，自愿接受交易中心规章制度的制约，承诺有能力承担风险，保证资金来源的合法性和所提供资料的真实性、有效性，并对申请人的交易活动承担一切法律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615" w:hRule="atLeast"/>
        </w:trPr>
        <w:tc>
          <w:tcPr>
            <w:tcW w:w="8520" w:type="dxa"/>
            <w:gridSpan w:val="6"/>
            <w:vMerge w:val="continue"/>
            <w:tcBorders>
              <w:left w:val="single" w:color="000000" w:sz="4" w:space="0"/>
              <w:right w:val="single" w:color="000000" w:sz="4" w:space="0"/>
            </w:tcBorders>
            <w:vAlign w:val="center"/>
          </w:tcPr>
          <w:p>
            <w:pPr>
              <w:autoSpaceDN w:val="0"/>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8520" w:type="dxa"/>
            <w:gridSpan w:val="6"/>
            <w:vMerge w:val="continue"/>
            <w:tcBorders>
              <w:left w:val="single" w:color="000000" w:sz="4" w:space="0"/>
              <w:right w:val="single" w:color="000000" w:sz="4" w:space="0"/>
            </w:tcBorders>
            <w:vAlign w:val="center"/>
          </w:tcPr>
          <w:p>
            <w:pPr>
              <w:autoSpaceDN w:val="0"/>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8520" w:type="dxa"/>
            <w:gridSpan w:val="6"/>
            <w:vMerge w:val="continue"/>
            <w:tcBorders>
              <w:left w:val="single" w:color="000000" w:sz="4" w:space="0"/>
              <w:right w:val="single" w:color="000000" w:sz="4" w:space="0"/>
            </w:tcBorders>
            <w:vAlign w:val="center"/>
          </w:tcPr>
          <w:p>
            <w:pPr>
              <w:autoSpaceDN w:val="0"/>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312" w:hRule="atLeast"/>
        </w:trPr>
        <w:tc>
          <w:tcPr>
            <w:tcW w:w="8520" w:type="dxa"/>
            <w:gridSpan w:val="6"/>
            <w:vMerge w:val="continue"/>
            <w:tcBorders>
              <w:left w:val="single" w:color="000000" w:sz="4" w:space="0"/>
              <w:right w:val="single" w:color="000000" w:sz="4" w:space="0"/>
            </w:tcBorders>
            <w:vAlign w:val="center"/>
          </w:tcPr>
          <w:p>
            <w:pPr>
              <w:autoSpaceDN w:val="0"/>
              <w:rPr>
                <w:rFonts w:ascii="宋体"/>
                <w:color w:val="000000"/>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8520" w:type="dxa"/>
            <w:gridSpan w:val="6"/>
            <w:tcBorders>
              <w:left w:val="single" w:color="000000" w:sz="4" w:space="0"/>
              <w:bottom w:val="single" w:color="000000" w:sz="4" w:space="0"/>
              <w:right w:val="single" w:color="000000" w:sz="4" w:space="0"/>
            </w:tcBorders>
            <w:vAlign w:val="center"/>
          </w:tcPr>
          <w:p>
            <w:pPr>
              <w:autoSpaceDN w:val="0"/>
              <w:jc w:val="right"/>
              <w:textAlignment w:val="center"/>
              <w:rPr>
                <w:rFonts w:ascii="宋体"/>
                <w:color w:val="000000"/>
                <w:sz w:val="20"/>
                <w:szCs w:val="20"/>
              </w:rPr>
            </w:pPr>
            <w:r>
              <w:rPr>
                <w:rFonts w:hint="eastAsia" w:ascii="宋体" w:hAnsi="宋体" w:cs="宋体"/>
                <w:color w:val="000000"/>
                <w:sz w:val="20"/>
                <w:szCs w:val="20"/>
              </w:rPr>
              <w:t>申请人（签字）：</w:t>
            </w:r>
            <w:r>
              <w:rPr>
                <w:rFonts w:ascii="宋体" w:hAnsi="宋体" w:cs="宋体"/>
                <w:color w:val="000000"/>
                <w:sz w:val="20"/>
                <w:szCs w:val="20"/>
              </w:rPr>
              <w:t xml:space="preserve">                          </w:t>
            </w:r>
            <w:r>
              <w:rPr>
                <w:rFonts w:hint="eastAsia" w:ascii="宋体" w:hAnsi="宋体" w:cs="宋体"/>
                <w:color w:val="000000"/>
                <w:sz w:val="20"/>
                <w:szCs w:val="20"/>
              </w:rPr>
              <w:t>年</w:t>
            </w:r>
            <w:r>
              <w:rPr>
                <w:rFonts w:ascii="宋体" w:hAnsi="宋体" w:cs="宋体"/>
                <w:color w:val="000000"/>
                <w:sz w:val="20"/>
                <w:szCs w:val="20"/>
              </w:rPr>
              <w:t xml:space="preserve">    </w:t>
            </w:r>
            <w:r>
              <w:rPr>
                <w:rFonts w:hint="eastAsia" w:ascii="宋体" w:hAnsi="宋体" w:cs="宋体"/>
                <w:color w:val="000000"/>
                <w:sz w:val="20"/>
                <w:szCs w:val="20"/>
              </w:rPr>
              <w:t>月</w:t>
            </w:r>
            <w:r>
              <w:rPr>
                <w:rFonts w:ascii="宋体" w:hAnsi="宋体" w:cs="宋体"/>
                <w:color w:val="000000"/>
                <w:sz w:val="20"/>
                <w:szCs w:val="20"/>
              </w:rPr>
              <w:t xml:space="preserve">    </w:t>
            </w:r>
            <w:r>
              <w:rPr>
                <w:rFonts w:hint="eastAsia" w:ascii="宋体" w:hAnsi="宋体" w:cs="宋体"/>
                <w:color w:val="000000"/>
                <w:sz w:val="20"/>
                <w:szCs w:val="20"/>
              </w:rPr>
              <w:t>日</w:t>
            </w:r>
            <w:r>
              <w:rPr>
                <w:rFonts w:ascii="宋体" w:hAnsi="宋体" w:cs="宋体"/>
                <w:color w:val="000000"/>
                <w:sz w:val="20"/>
                <w:szCs w:val="20"/>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1580" w:hRule="atLeast"/>
        </w:trPr>
        <w:tc>
          <w:tcPr>
            <w:tcW w:w="1273" w:type="dxa"/>
            <w:vMerge w:val="restart"/>
            <w:tcBorders>
              <w:top w:val="single" w:color="000000" w:sz="4" w:space="0"/>
              <w:left w:val="single" w:color="000000" w:sz="4" w:space="0"/>
              <w:right w:val="single" w:color="auto" w:sz="4" w:space="0"/>
            </w:tcBorders>
            <w:vAlign w:val="center"/>
          </w:tcPr>
          <w:p>
            <w:pPr>
              <w:autoSpaceDN w:val="0"/>
              <w:jc w:val="center"/>
              <w:textAlignment w:val="center"/>
              <w:rPr>
                <w:rFonts w:ascii="宋体"/>
                <w:sz w:val="20"/>
                <w:szCs w:val="20"/>
              </w:rPr>
            </w:pPr>
            <w:r>
              <w:rPr>
                <w:rFonts w:hint="eastAsia" w:ascii="宋体" w:hAnsi="宋体" w:cs="宋体"/>
                <w:sz w:val="20"/>
                <w:szCs w:val="20"/>
              </w:rPr>
              <w:t>经纪会员意见</w:t>
            </w:r>
          </w:p>
        </w:tc>
        <w:tc>
          <w:tcPr>
            <w:tcW w:w="7247" w:type="dxa"/>
            <w:gridSpan w:val="5"/>
            <w:tcBorders>
              <w:left w:val="single" w:color="auto" w:sz="4" w:space="0"/>
              <w:right w:val="single" w:color="000000" w:sz="4" w:space="0"/>
            </w:tcBorders>
            <w:vAlign w:val="center"/>
          </w:tcPr>
          <w:p>
            <w:pPr>
              <w:autoSpaceDN w:val="0"/>
              <w:jc w:val="left"/>
              <w:textAlignment w:val="center"/>
              <w:rPr>
                <w:rFonts w:ascii="宋体"/>
                <w:sz w:val="20"/>
                <w:szCs w:val="20"/>
              </w:rPr>
            </w:pPr>
            <w:r>
              <w:rPr>
                <w:rFonts w:ascii="宋体" w:hAnsi="宋体" w:cs="宋体"/>
                <w:sz w:val="20"/>
                <w:szCs w:val="20"/>
              </w:rPr>
              <w:t>1</w:t>
            </w:r>
            <w:r>
              <w:rPr>
                <w:rFonts w:hint="eastAsia" w:ascii="宋体" w:hAnsi="宋体" w:cs="宋体"/>
                <w:sz w:val="20"/>
                <w:szCs w:val="20"/>
              </w:rPr>
              <w:t>、经过审核，申请人资料信息真实有效，具备交易会员资格，本公司同意推荐其成为宁夏文化艺术品产权交易中心投资人会员。</w:t>
            </w:r>
          </w:p>
          <w:p>
            <w:pPr>
              <w:autoSpaceDN w:val="0"/>
              <w:jc w:val="left"/>
              <w:textAlignment w:val="center"/>
              <w:rPr>
                <w:rFonts w:ascii="宋体"/>
                <w:sz w:val="20"/>
                <w:szCs w:val="20"/>
              </w:rPr>
            </w:pPr>
            <w:r>
              <w:rPr>
                <w:rFonts w:ascii="宋体" w:hAnsi="宋体" w:cs="宋体"/>
                <w:sz w:val="20"/>
                <w:szCs w:val="20"/>
              </w:rPr>
              <w:t>2</w:t>
            </w:r>
            <w:r>
              <w:rPr>
                <w:rFonts w:hint="eastAsia" w:ascii="宋体" w:hAnsi="宋体" w:cs="宋体"/>
                <w:sz w:val="20"/>
                <w:szCs w:val="20"/>
              </w:rPr>
              <w:t>、本公司严格按照《宁夏文化艺术品产权交易中心交易规则》（暂行）的规定指导、监督申请人开展藏品交易业务，承担其可能违约造成的经济责任，同时全权享有对该经济责任的追偿权。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450" w:hRule="atLeast"/>
        </w:trPr>
        <w:tc>
          <w:tcPr>
            <w:tcW w:w="1273" w:type="dxa"/>
            <w:vMerge w:val="continue"/>
            <w:tcBorders>
              <w:top w:val="single" w:color="000000" w:sz="4" w:space="0"/>
              <w:left w:val="single" w:color="000000" w:sz="4" w:space="0"/>
              <w:right w:val="single" w:color="auto" w:sz="4" w:space="0"/>
            </w:tcBorders>
            <w:vAlign w:val="center"/>
          </w:tcPr>
          <w:p>
            <w:pPr>
              <w:rPr>
                <w:rFonts w:ascii="宋体"/>
                <w:sz w:val="20"/>
                <w:szCs w:val="20"/>
              </w:rPr>
            </w:pPr>
          </w:p>
        </w:tc>
        <w:tc>
          <w:tcPr>
            <w:tcW w:w="7247" w:type="dxa"/>
            <w:gridSpan w:val="5"/>
            <w:vMerge w:val="restart"/>
            <w:tcBorders>
              <w:left w:val="single" w:color="auto" w:sz="4" w:space="0"/>
              <w:right w:val="single" w:color="000000" w:sz="4" w:space="0"/>
            </w:tcBorders>
            <w:vAlign w:val="center"/>
          </w:tcPr>
          <w:p>
            <w:pPr>
              <w:rPr>
                <w:rFonts w:ascii="宋体"/>
                <w:sz w:val="20"/>
                <w:szCs w:val="20"/>
              </w:rPr>
            </w:pPr>
            <w:r>
              <w:rPr>
                <w:rFonts w:ascii="宋体" w:hAnsi="宋体" w:cs="宋体"/>
                <w:sz w:val="20"/>
                <w:szCs w:val="20"/>
              </w:rPr>
              <w:t xml:space="preserve">                </w:t>
            </w:r>
          </w:p>
          <w:p>
            <w:pPr>
              <w:ind w:firstLine="2800" w:firstLineChars="1400"/>
              <w:rPr>
                <w:rFonts w:ascii="宋体"/>
                <w:sz w:val="20"/>
                <w:szCs w:val="20"/>
              </w:rPr>
            </w:pPr>
            <w:r>
              <w:rPr>
                <w:rFonts w:hint="eastAsia" w:ascii="宋体" w:hAnsi="宋体" w:cs="宋体"/>
                <w:sz w:val="20"/>
                <w:szCs w:val="20"/>
              </w:rPr>
              <w:t>经纪会员名称：</w:t>
            </w:r>
            <w:r>
              <w:rPr>
                <w:rFonts w:ascii="宋体" w:hAnsi="宋体" w:cs="宋体"/>
                <w:sz w:val="20"/>
                <w:szCs w:val="20"/>
              </w:rPr>
              <w:t>__________________________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312" w:hRule="atLeast"/>
        </w:trPr>
        <w:tc>
          <w:tcPr>
            <w:tcW w:w="1273" w:type="dxa"/>
            <w:vMerge w:val="continue"/>
            <w:tcBorders>
              <w:top w:val="single" w:color="000000" w:sz="4" w:space="0"/>
              <w:left w:val="single" w:color="000000" w:sz="4" w:space="0"/>
              <w:right w:val="single" w:color="auto" w:sz="4" w:space="0"/>
            </w:tcBorders>
            <w:vAlign w:val="center"/>
          </w:tcPr>
          <w:p>
            <w:pPr>
              <w:autoSpaceDN w:val="0"/>
              <w:rPr>
                <w:rFonts w:ascii="宋体"/>
                <w:sz w:val="20"/>
                <w:szCs w:val="20"/>
              </w:rPr>
            </w:pPr>
          </w:p>
        </w:tc>
        <w:tc>
          <w:tcPr>
            <w:tcW w:w="7247" w:type="dxa"/>
            <w:gridSpan w:val="5"/>
            <w:vMerge w:val="continue"/>
            <w:tcBorders>
              <w:left w:val="single" w:color="auto" w:sz="4" w:space="0"/>
              <w:right w:val="single" w:color="000000" w:sz="4" w:space="0"/>
            </w:tcBorders>
            <w:vAlign w:val="center"/>
          </w:tcPr>
          <w:p>
            <w:pPr>
              <w:autoSpaceDN w:val="0"/>
              <w:jc w:val="center"/>
              <w:textAlignment w:val="center"/>
              <w:rPr>
                <w:rFonts w:ascii="宋体"/>
                <w:sz w:val="20"/>
                <w:szCs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1994" w:hRule="atLeast"/>
        </w:trPr>
        <w:tc>
          <w:tcPr>
            <w:tcW w:w="1273" w:type="dxa"/>
            <w:vMerge w:val="continue"/>
            <w:tcBorders>
              <w:top w:val="single" w:color="000000" w:sz="4" w:space="0"/>
              <w:left w:val="single" w:color="000000" w:sz="4" w:space="0"/>
              <w:bottom w:val="single" w:color="auto" w:sz="4" w:space="0"/>
              <w:right w:val="single" w:color="auto" w:sz="4" w:space="0"/>
            </w:tcBorders>
            <w:vAlign w:val="center"/>
          </w:tcPr>
          <w:p>
            <w:pPr>
              <w:rPr>
                <w:rFonts w:ascii="宋体"/>
                <w:sz w:val="20"/>
                <w:szCs w:val="20"/>
              </w:rPr>
            </w:pPr>
          </w:p>
        </w:tc>
        <w:tc>
          <w:tcPr>
            <w:tcW w:w="7247" w:type="dxa"/>
            <w:gridSpan w:val="5"/>
            <w:tcBorders>
              <w:left w:val="single" w:color="auto" w:sz="4" w:space="0"/>
              <w:bottom w:val="single" w:color="auto" w:sz="4" w:space="0"/>
              <w:right w:val="single" w:color="auto" w:sz="4" w:space="0"/>
            </w:tcBorders>
            <w:vAlign w:val="center"/>
          </w:tcPr>
          <w:p>
            <w:pPr>
              <w:autoSpaceDN w:val="0"/>
              <w:jc w:val="left"/>
              <w:textAlignment w:val="center"/>
              <w:rPr>
                <w:rFonts w:ascii="宋体"/>
                <w:sz w:val="20"/>
                <w:szCs w:val="20"/>
              </w:rPr>
            </w:pPr>
            <w:r>
              <w:rPr>
                <w:rFonts w:ascii="宋体" w:hAnsi="宋体" w:cs="宋体"/>
                <w:sz w:val="20"/>
                <w:szCs w:val="20"/>
              </w:rPr>
              <w:t xml:space="preserve">                </w:t>
            </w:r>
          </w:p>
          <w:p>
            <w:pPr>
              <w:autoSpaceDN w:val="0"/>
              <w:jc w:val="left"/>
              <w:textAlignment w:val="center"/>
              <w:rPr>
                <w:rFonts w:ascii="宋体"/>
                <w:sz w:val="20"/>
                <w:szCs w:val="20"/>
              </w:rPr>
            </w:pPr>
            <w:r>
              <w:rPr>
                <w:rFonts w:ascii="宋体" w:hAnsi="宋体" w:cs="宋体"/>
                <w:sz w:val="20"/>
                <w:szCs w:val="20"/>
              </w:rPr>
              <w:t xml:space="preserve"> </w:t>
            </w:r>
          </w:p>
          <w:p>
            <w:pPr>
              <w:autoSpaceDN w:val="0"/>
              <w:jc w:val="left"/>
              <w:textAlignment w:val="center"/>
              <w:rPr>
                <w:rFonts w:ascii="宋体"/>
                <w:sz w:val="20"/>
                <w:szCs w:val="20"/>
              </w:rPr>
            </w:pPr>
            <w:r>
              <w:rPr>
                <w:rFonts w:ascii="宋体" w:hAnsi="宋体" w:cs="宋体"/>
                <w:sz w:val="20"/>
                <w:szCs w:val="20"/>
              </w:rPr>
              <w:t xml:space="preserve">                            </w:t>
            </w:r>
            <w:r>
              <w:rPr>
                <w:rFonts w:hint="eastAsia" w:ascii="宋体" w:hAnsi="宋体" w:cs="宋体"/>
                <w:sz w:val="20"/>
                <w:szCs w:val="20"/>
              </w:rPr>
              <w:t>经纪会员盖章：</w:t>
            </w:r>
          </w:p>
          <w:p>
            <w:pPr>
              <w:rPr>
                <w:rFonts w:ascii="宋体"/>
                <w:sz w:val="20"/>
                <w:szCs w:val="20"/>
              </w:rPr>
            </w:pPr>
            <w:r>
              <w:rPr>
                <w:rFonts w:ascii="宋体" w:hAnsi="宋体" w:cs="宋体"/>
                <w:sz w:val="20"/>
                <w:szCs w:val="20"/>
              </w:rPr>
              <w:t xml:space="preserve">                                            </w:t>
            </w:r>
          </w:p>
          <w:p>
            <w:pPr>
              <w:rPr>
                <w:rFonts w:ascii="宋体"/>
                <w:sz w:val="20"/>
                <w:szCs w:val="20"/>
              </w:rPr>
            </w:pPr>
            <w:r>
              <w:rPr>
                <w:rFonts w:ascii="宋体" w:hAnsi="宋体" w:cs="宋体"/>
                <w:sz w:val="20"/>
                <w:szCs w:val="20"/>
              </w:rPr>
              <w:t xml:space="preserve">                                           </w:t>
            </w:r>
            <w:r>
              <w:rPr>
                <w:rFonts w:hint="eastAsia" w:ascii="宋体" w:hAnsi="宋体" w:cs="宋体"/>
                <w:sz w:val="20"/>
                <w:szCs w:val="20"/>
              </w:rPr>
              <w:t>年</w:t>
            </w:r>
            <w:r>
              <w:rPr>
                <w:rFonts w:ascii="宋体" w:hAnsi="宋体" w:cs="宋体"/>
                <w:sz w:val="20"/>
                <w:szCs w:val="20"/>
              </w:rPr>
              <w:t xml:space="preserve">   </w:t>
            </w:r>
            <w:r>
              <w:rPr>
                <w:rFonts w:hint="eastAsia" w:ascii="宋体" w:hAnsi="宋体" w:cs="宋体"/>
                <w:sz w:val="20"/>
                <w:szCs w:val="20"/>
              </w:rPr>
              <w:t>月</w:t>
            </w:r>
            <w:r>
              <w:rPr>
                <w:rFonts w:ascii="宋体" w:hAnsi="宋体" w:cs="宋体"/>
                <w:sz w:val="20"/>
                <w:szCs w:val="20"/>
              </w:rPr>
              <w:t xml:space="preserve">    </w:t>
            </w:r>
            <w:r>
              <w:rPr>
                <w:rFonts w:hint="eastAsia" w:ascii="宋体" w:hAnsi="宋体" w:cs="宋体"/>
                <w:sz w:val="20"/>
                <w:szCs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1894" w:hRule="atLeast"/>
        </w:trPr>
        <w:tc>
          <w:tcPr>
            <w:tcW w:w="1273"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ascii="宋体"/>
                <w:sz w:val="20"/>
                <w:szCs w:val="20"/>
              </w:rPr>
            </w:pPr>
            <w:r>
              <w:rPr>
                <w:rFonts w:hint="eastAsia" w:ascii="宋体" w:hAnsi="宋体" w:cs="宋体"/>
                <w:sz w:val="20"/>
                <w:szCs w:val="20"/>
              </w:rPr>
              <w:t>交易所意见</w:t>
            </w:r>
          </w:p>
        </w:tc>
        <w:tc>
          <w:tcPr>
            <w:tcW w:w="7247" w:type="dxa"/>
            <w:gridSpan w:val="5"/>
            <w:tcBorders>
              <w:left w:val="single" w:color="000000" w:sz="4" w:space="0"/>
              <w:bottom w:val="single" w:color="auto" w:sz="4" w:space="0"/>
              <w:right w:val="single" w:color="auto" w:sz="4" w:space="0"/>
            </w:tcBorders>
            <w:vAlign w:val="center"/>
          </w:tcPr>
          <w:p>
            <w:pPr>
              <w:autoSpaceDN w:val="0"/>
              <w:jc w:val="center"/>
              <w:textAlignment w:val="center"/>
              <w:rPr>
                <w:rFonts w:ascii="宋体"/>
                <w:sz w:val="20"/>
                <w:szCs w:val="20"/>
              </w:rPr>
            </w:pPr>
          </w:p>
          <w:p>
            <w:pPr>
              <w:autoSpaceDN w:val="0"/>
              <w:jc w:val="center"/>
              <w:textAlignment w:val="center"/>
              <w:rPr>
                <w:rFonts w:ascii="宋体"/>
                <w:sz w:val="20"/>
                <w:szCs w:val="20"/>
              </w:rPr>
            </w:pPr>
          </w:p>
          <w:p>
            <w:pPr>
              <w:autoSpaceDN w:val="0"/>
              <w:jc w:val="center"/>
              <w:textAlignment w:val="center"/>
              <w:rPr>
                <w:rFonts w:ascii="宋体"/>
                <w:sz w:val="20"/>
                <w:szCs w:val="20"/>
              </w:rPr>
            </w:pPr>
            <w:r>
              <w:rPr>
                <w:rFonts w:ascii="宋体" w:hAnsi="宋体" w:cs="宋体"/>
                <w:sz w:val="20"/>
                <w:szCs w:val="20"/>
              </w:rPr>
              <w:t xml:space="preserve">  </w:t>
            </w:r>
          </w:p>
          <w:p>
            <w:pPr>
              <w:autoSpaceDN w:val="0"/>
              <w:jc w:val="center"/>
              <w:textAlignment w:val="center"/>
              <w:rPr>
                <w:rFonts w:ascii="宋体"/>
                <w:sz w:val="20"/>
                <w:szCs w:val="20"/>
              </w:rPr>
            </w:pPr>
            <w:r>
              <w:rPr>
                <w:rFonts w:hint="eastAsia" w:ascii="宋体" w:hAnsi="宋体" w:cs="宋体"/>
                <w:sz w:val="20"/>
                <w:szCs w:val="20"/>
              </w:rPr>
              <w:t>交易中心盖章：</w:t>
            </w:r>
            <w:r>
              <w:rPr>
                <w:rFonts w:ascii="宋体" w:hAnsi="宋体" w:cs="宋体"/>
                <w:sz w:val="20"/>
                <w:szCs w:val="20"/>
              </w:rPr>
              <w:t xml:space="preserve">  </w:t>
            </w:r>
          </w:p>
          <w:p>
            <w:pPr>
              <w:autoSpaceDN w:val="0"/>
              <w:jc w:val="center"/>
              <w:textAlignment w:val="center"/>
              <w:rPr>
                <w:rFonts w:ascii="宋体"/>
                <w:sz w:val="20"/>
                <w:szCs w:val="20"/>
              </w:rPr>
            </w:pPr>
            <w:r>
              <w:rPr>
                <w:rFonts w:ascii="宋体" w:hAnsi="宋体" w:cs="宋体"/>
                <w:sz w:val="20"/>
                <w:szCs w:val="20"/>
              </w:rPr>
              <w:t xml:space="preserve">                 </w:t>
            </w:r>
          </w:p>
          <w:p>
            <w:pPr>
              <w:autoSpaceDN w:val="0"/>
              <w:jc w:val="center"/>
              <w:textAlignment w:val="center"/>
              <w:rPr>
                <w:rFonts w:ascii="宋体"/>
                <w:sz w:val="20"/>
                <w:szCs w:val="20"/>
              </w:rPr>
            </w:pPr>
            <w:r>
              <w:rPr>
                <w:rFonts w:ascii="宋体" w:hAnsi="宋体" w:cs="宋体"/>
                <w:sz w:val="20"/>
                <w:szCs w:val="20"/>
              </w:rPr>
              <w:t xml:space="preserve">                         </w:t>
            </w:r>
            <w:r>
              <w:rPr>
                <w:rFonts w:hint="eastAsia" w:ascii="宋体" w:hAnsi="宋体" w:cs="宋体"/>
                <w:sz w:val="20"/>
                <w:szCs w:val="20"/>
              </w:rPr>
              <w:t>年</w:t>
            </w:r>
            <w:r>
              <w:rPr>
                <w:rFonts w:ascii="宋体" w:hAnsi="宋体" w:cs="宋体"/>
                <w:sz w:val="20"/>
                <w:szCs w:val="20"/>
              </w:rPr>
              <w:t xml:space="preserve">   </w:t>
            </w:r>
            <w:r>
              <w:rPr>
                <w:rFonts w:hint="eastAsia" w:ascii="宋体" w:hAnsi="宋体" w:cs="宋体"/>
                <w:sz w:val="20"/>
                <w:szCs w:val="20"/>
              </w:rPr>
              <w:t>月</w:t>
            </w:r>
            <w:r>
              <w:rPr>
                <w:rFonts w:ascii="宋体" w:hAnsi="宋体" w:cs="宋体"/>
                <w:sz w:val="20"/>
                <w:szCs w:val="20"/>
              </w:rPr>
              <w:t xml:space="preserve">   </w:t>
            </w:r>
            <w:r>
              <w:rPr>
                <w:rFonts w:hint="eastAsia" w:ascii="宋体" w:hAnsi="宋体" w:cs="宋体"/>
                <w:sz w:val="20"/>
                <w:szCs w:val="20"/>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5" w:type="dxa"/>
            <w:right w:w="15" w:type="dxa"/>
          </w:tblCellMar>
        </w:tblPrEx>
        <w:trPr>
          <w:trHeight w:val="634" w:hRule="atLeast"/>
        </w:trPr>
        <w:tc>
          <w:tcPr>
            <w:tcW w:w="8520" w:type="dxa"/>
            <w:gridSpan w:val="6"/>
            <w:vAlign w:val="center"/>
          </w:tcPr>
          <w:p>
            <w:pPr>
              <w:autoSpaceDN w:val="0"/>
              <w:jc w:val="center"/>
              <w:textAlignment w:val="center"/>
              <w:rPr>
                <w:rFonts w:ascii="宋体"/>
                <w:color w:val="000000"/>
                <w:sz w:val="20"/>
                <w:szCs w:val="20"/>
              </w:rPr>
            </w:pPr>
            <w:r>
              <w:rPr>
                <w:rFonts w:hint="eastAsia" w:ascii="宋体" w:hAnsi="宋体" w:cs="宋体"/>
                <w:color w:val="000000"/>
                <w:sz w:val="20"/>
                <w:szCs w:val="20"/>
              </w:rPr>
              <w:t>注：</w:t>
            </w:r>
            <w:r>
              <w:rPr>
                <w:rFonts w:ascii="宋体" w:hAnsi="宋体" w:cs="宋体"/>
                <w:color w:val="000000"/>
                <w:sz w:val="20"/>
                <w:szCs w:val="20"/>
              </w:rPr>
              <w:t>1</w:t>
            </w:r>
            <w:r>
              <w:rPr>
                <w:rFonts w:hint="eastAsia" w:ascii="宋体" w:hAnsi="宋体" w:cs="宋体"/>
                <w:color w:val="000000"/>
                <w:sz w:val="20"/>
                <w:szCs w:val="20"/>
              </w:rPr>
              <w:t>、申请人身份证、银行卡复印件请贴此表背面</w:t>
            </w:r>
            <w:r>
              <w:rPr>
                <w:rFonts w:ascii="宋体" w:hAnsi="宋体" w:cs="宋体"/>
                <w:color w:val="000000"/>
                <w:sz w:val="20"/>
                <w:szCs w:val="20"/>
              </w:rPr>
              <w:t>2</w:t>
            </w:r>
            <w:r>
              <w:rPr>
                <w:rFonts w:hint="eastAsia" w:ascii="宋体" w:hAnsi="宋体" w:cs="宋体"/>
                <w:color w:val="000000"/>
                <w:sz w:val="20"/>
                <w:szCs w:val="20"/>
              </w:rPr>
              <w:t>、此表经市场盖章后生效</w:t>
            </w:r>
            <w:r>
              <w:rPr>
                <w:rFonts w:ascii="宋体" w:hAnsi="宋体" w:cs="宋体"/>
                <w:color w:val="000000"/>
                <w:sz w:val="20"/>
                <w:szCs w:val="20"/>
              </w:rPr>
              <w:t xml:space="preserve"> 3</w:t>
            </w:r>
            <w:r>
              <w:rPr>
                <w:rFonts w:hint="eastAsia" w:ascii="宋体" w:hAnsi="宋体" w:cs="宋体"/>
                <w:color w:val="000000"/>
                <w:sz w:val="20"/>
                <w:szCs w:val="20"/>
              </w:rPr>
              <w:t>、此表涂改无效</w:t>
            </w:r>
          </w:p>
        </w:tc>
      </w:tr>
    </w:tbl>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ind w:right="84" w:rightChars="40"/>
        <w:rPr>
          <w:rFonts w:ascii="新宋体" w:hAnsi="新宋体" w:eastAsia="新宋体"/>
          <w:color w:val="000000"/>
        </w:rPr>
      </w:pPr>
    </w:p>
    <w:p>
      <w:pPr>
        <w:jc w:val="center"/>
        <w:rPr>
          <w:rFonts w:cs="宋体"/>
          <w:b/>
          <w:bCs/>
          <w:sz w:val="36"/>
          <w:szCs w:val="36"/>
        </w:rPr>
      </w:pPr>
      <w:r>
        <w:rPr>
          <w:rFonts w:hint="eastAsia" w:cs="宋体"/>
          <w:b/>
          <w:bCs/>
          <w:sz w:val="36"/>
          <w:szCs w:val="36"/>
        </w:rPr>
        <w:t>宁夏文化艺术品产权交易中心</w:t>
      </w:r>
    </w:p>
    <w:p>
      <w:pPr>
        <w:jc w:val="center"/>
        <w:rPr>
          <w:b/>
          <w:bCs/>
          <w:sz w:val="32"/>
          <w:szCs w:val="32"/>
        </w:rPr>
      </w:pPr>
      <w:r>
        <w:rPr>
          <w:rFonts w:hint="eastAsia" w:cs="宋体"/>
          <w:b/>
          <w:bCs/>
          <w:sz w:val="32"/>
          <w:szCs w:val="32"/>
        </w:rPr>
        <w:t>投资人会员交易风险提示书</w:t>
      </w:r>
    </w:p>
    <w:p>
      <w:pPr>
        <w:spacing w:line="360" w:lineRule="auto"/>
        <w:rPr>
          <w:sz w:val="23"/>
          <w:szCs w:val="23"/>
        </w:rPr>
      </w:pPr>
    </w:p>
    <w:p>
      <w:pPr>
        <w:spacing w:line="360" w:lineRule="auto"/>
        <w:rPr>
          <w:rFonts w:ascii="宋体"/>
          <w:b/>
          <w:bCs/>
          <w:sz w:val="24"/>
          <w:szCs w:val="24"/>
        </w:rPr>
      </w:pPr>
      <w:r>
        <w:rPr>
          <w:rFonts w:hint="eastAsia" w:ascii="宋体" w:hAnsi="宋体" w:cs="宋体"/>
          <w:b/>
          <w:bCs/>
          <w:sz w:val="24"/>
          <w:szCs w:val="24"/>
        </w:rPr>
        <w:t>尊敬的投资人：</w:t>
      </w:r>
    </w:p>
    <w:p>
      <w:pPr>
        <w:spacing w:line="360" w:lineRule="auto"/>
        <w:ind w:firstLine="435"/>
        <w:rPr>
          <w:rFonts w:ascii="宋体"/>
          <w:sz w:val="24"/>
          <w:szCs w:val="24"/>
        </w:rPr>
      </w:pPr>
      <w:r>
        <w:rPr>
          <w:rFonts w:hint="eastAsia" w:ascii="宋体" w:hAnsi="宋体" w:cs="宋体"/>
          <w:sz w:val="24"/>
          <w:szCs w:val="24"/>
        </w:rPr>
        <w:t>欢迎您参加宁夏文化艺术品产权交易中心藏品实物线上交易！为了让您充分了解交易风险，根据《宁夏文化艺术品产权交易中心交易规则》</w:t>
      </w:r>
      <w:r>
        <w:rPr>
          <w:rFonts w:ascii="宋体" w:hAnsi="宋体" w:cs="宋体"/>
          <w:sz w:val="24"/>
          <w:szCs w:val="24"/>
        </w:rPr>
        <w:t>(</w:t>
      </w:r>
      <w:r>
        <w:rPr>
          <w:rFonts w:hint="eastAsia" w:ascii="宋体" w:hAnsi="宋体" w:cs="宋体"/>
          <w:sz w:val="24"/>
          <w:szCs w:val="24"/>
        </w:rPr>
        <w:t>暂行</w:t>
      </w:r>
      <w:r>
        <w:rPr>
          <w:rFonts w:ascii="宋体" w:hAnsi="宋体" w:cs="宋体"/>
          <w:sz w:val="24"/>
          <w:szCs w:val="24"/>
        </w:rPr>
        <w:t>)</w:t>
      </w:r>
      <w:r>
        <w:rPr>
          <w:rFonts w:hint="eastAsia" w:ascii="宋体" w:hAnsi="宋体" w:cs="宋体"/>
          <w:sz w:val="24"/>
          <w:szCs w:val="24"/>
        </w:rPr>
        <w:t>等相关规定，特提供本风险提示书。若您选择参与本中心藏品实物交易，则视为您已仔细阅读前述规定以及本风险提示书并自愿承担实物交易带来的风险。</w:t>
      </w:r>
    </w:p>
    <w:p>
      <w:pPr>
        <w:spacing w:line="360" w:lineRule="auto"/>
        <w:ind w:firstLine="435"/>
        <w:rPr>
          <w:rFonts w:ascii="宋体"/>
          <w:sz w:val="24"/>
          <w:szCs w:val="24"/>
        </w:rPr>
      </w:pPr>
      <w:r>
        <w:rPr>
          <w:rFonts w:hint="eastAsia" w:ascii="宋体" w:hAnsi="宋体" w:cs="宋体"/>
          <w:sz w:val="24"/>
          <w:szCs w:val="24"/>
        </w:rPr>
        <w:t>鉴于投资人进行交易存在风险并可能导致投资人亏损，请您慎重考虑自身情况是否适合进行此类交易，并确定可以自行承担风险及亏损，同时客观理性地认识到藏品实物交易的风险包括但不限于：</w:t>
      </w:r>
    </w:p>
    <w:p>
      <w:pPr>
        <w:spacing w:line="360" w:lineRule="auto"/>
        <w:ind w:firstLine="435"/>
        <w:rPr>
          <w:rFonts w:ascii="宋体"/>
          <w:sz w:val="24"/>
          <w:szCs w:val="24"/>
        </w:rPr>
      </w:pPr>
      <w:r>
        <w:rPr>
          <w:rFonts w:hint="eastAsia" w:ascii="宋体" w:hAnsi="宋体" w:cs="宋体"/>
          <w:sz w:val="24"/>
          <w:szCs w:val="24"/>
        </w:rPr>
        <w:t>一、宏观经济风险：由于我国宏观经济形势的变化以及藏品价值取向的变化，存在可能影响藏品价格上下波动的情形；国际宏观经济形势变化也会对藏品交易市场产生影响，存在导致藏品交易价格上下波动的情形。</w:t>
      </w:r>
    </w:p>
    <w:p>
      <w:pPr>
        <w:spacing w:line="360" w:lineRule="auto"/>
        <w:ind w:firstLine="435"/>
        <w:rPr>
          <w:rFonts w:ascii="宋体"/>
          <w:sz w:val="24"/>
          <w:szCs w:val="24"/>
        </w:rPr>
      </w:pPr>
      <w:r>
        <w:rPr>
          <w:rFonts w:hint="eastAsia" w:ascii="宋体" w:hAnsi="宋体" w:cs="宋体"/>
          <w:sz w:val="24"/>
          <w:szCs w:val="24"/>
        </w:rPr>
        <w:t>二、政策法规及市场风险：宁夏文化艺术品产权交易中心线上实物交易作为一种创新的实物交易模式，自身的交易规则还需要在实践中不断完善，国家法律、法规及政策的变化以及影响价格波动的其他因素出现，都可能影响藏品交易价格；或者由于本中心根据国家法律、法规及政策变化等原因而对本中心相关规则进行修订，可能影响交易主体资格、交易规则等各个方面的变化。上述法律法规、政策及本中心规则的风险，均可能导致本中心交易的藏品价格异常波动。</w:t>
      </w:r>
    </w:p>
    <w:p>
      <w:pPr>
        <w:spacing w:line="360" w:lineRule="auto"/>
        <w:ind w:firstLine="435"/>
        <w:rPr>
          <w:rFonts w:ascii="宋体"/>
          <w:sz w:val="24"/>
          <w:szCs w:val="24"/>
        </w:rPr>
      </w:pPr>
      <w:r>
        <w:rPr>
          <w:rFonts w:hint="eastAsia" w:ascii="宋体" w:hAnsi="宋体" w:cs="宋体"/>
          <w:sz w:val="24"/>
          <w:szCs w:val="24"/>
        </w:rPr>
        <w:t>三、鉴定评估风险：由于国内目前尚没有权威的鉴定评估机构和统一的鉴定估值程序及完备的鉴定估值方法，藏品的鉴定估值意见书仅供投资者参考，不作为投资人主张其他权益的依据。</w:t>
      </w:r>
    </w:p>
    <w:p>
      <w:pPr>
        <w:spacing w:line="360" w:lineRule="auto"/>
        <w:ind w:firstLine="435"/>
        <w:rPr>
          <w:rFonts w:ascii="宋体"/>
          <w:sz w:val="24"/>
          <w:szCs w:val="24"/>
        </w:rPr>
      </w:pPr>
      <w:r>
        <w:rPr>
          <w:rFonts w:hint="eastAsia" w:ascii="宋体" w:hAnsi="宋体" w:cs="宋体"/>
          <w:sz w:val="24"/>
          <w:szCs w:val="24"/>
        </w:rPr>
        <w:t>四、技术风险：由于交易的进行、信息的显示及资金的划付均是运用电子通讯技术和电脑技术并通过互联网传输来实现的，这些技术存在被网络黑客和计算机病毒攻击的可能，或者通讯技术、电脑技术和相关软件具有存在缺陷的可能，互联网传输故障也可能造成您的交易指令无法及时传输，这些风险均可导致您的交易申报无法成交或者无法全部成交，或者转账资金不能及时到账、交易延迟、中止甚至无法完成交易等。</w:t>
      </w:r>
    </w:p>
    <w:p>
      <w:pPr>
        <w:spacing w:line="360" w:lineRule="auto"/>
        <w:ind w:firstLine="435"/>
        <w:rPr>
          <w:rFonts w:ascii="宋体"/>
          <w:sz w:val="24"/>
          <w:szCs w:val="24"/>
        </w:rPr>
      </w:pPr>
      <w:r>
        <w:rPr>
          <w:rFonts w:hint="eastAsia" w:ascii="宋体" w:hAnsi="宋体" w:cs="宋体"/>
          <w:sz w:val="24"/>
          <w:szCs w:val="24"/>
        </w:rPr>
        <w:t>五、不可抗力风险：诸如地震、台风、火灾、水灾、战争、瘟疫、社会动乱等不可抗力因素可能导致交易系统的瘫痪；本中心无法控制和不可预测的系统故障、设备故障、通讯故障、电力故障等也可能导致交易系统非正常运行甚至瘫痪；银行无法控制和不可预测的系统故障、设备故障、通讯故障、电力故障等也可能导致资金转账系统非正常运行甚至瘫痪，这些风险可能导致您的交易申报无法成交或者无法全部成交，或者转账资金不能及时到账等。</w:t>
      </w:r>
    </w:p>
    <w:p>
      <w:pPr>
        <w:spacing w:line="360" w:lineRule="auto"/>
        <w:ind w:firstLine="435"/>
        <w:rPr>
          <w:rFonts w:ascii="宋体"/>
          <w:sz w:val="24"/>
          <w:szCs w:val="24"/>
        </w:rPr>
      </w:pPr>
      <w:r>
        <w:rPr>
          <w:rFonts w:hint="eastAsia" w:ascii="宋体" w:hAnsi="宋体" w:cs="宋体"/>
          <w:sz w:val="24"/>
          <w:szCs w:val="24"/>
        </w:rPr>
        <w:t>六、账号密码泄露风险：由于投资人会员使用计算机被病毒侵入、黑客攻击等导致的密码泄露、账号泄露或投资人的身份被冒用，可能导致无法正确下达申报指令、恶意虚假申报或申报失败、延迟、错误等。</w:t>
      </w:r>
    </w:p>
    <w:p>
      <w:pPr>
        <w:spacing w:line="360" w:lineRule="auto"/>
        <w:ind w:firstLine="435"/>
        <w:rPr>
          <w:rFonts w:ascii="宋体"/>
          <w:sz w:val="24"/>
          <w:szCs w:val="24"/>
        </w:rPr>
      </w:pPr>
      <w:r>
        <w:rPr>
          <w:rFonts w:hint="eastAsia" w:ascii="宋体" w:hAnsi="宋体" w:cs="宋体"/>
          <w:sz w:val="24"/>
          <w:szCs w:val="24"/>
        </w:rPr>
        <w:t>七、投资人会员软硬件系统风险：投资人的电脑设备及软件系统与所提供的网上交易系统不相匹配，导致无法下达申报指令或申报失败、延迟等。</w:t>
      </w:r>
    </w:p>
    <w:p>
      <w:pPr>
        <w:spacing w:line="360" w:lineRule="auto"/>
        <w:ind w:firstLine="435"/>
        <w:rPr>
          <w:rFonts w:ascii="宋体"/>
          <w:sz w:val="24"/>
          <w:szCs w:val="24"/>
        </w:rPr>
      </w:pPr>
      <w:r>
        <w:rPr>
          <w:rFonts w:hint="eastAsia" w:ascii="宋体" w:hAnsi="宋体" w:cs="宋体"/>
          <w:sz w:val="24"/>
          <w:szCs w:val="24"/>
        </w:rPr>
        <w:t>八、其他风险：密码失密、操作不当、投资决策失误的等原因可能会使投资人会员发生亏损；网上申报、热键操作完毕后未及时退出，他人进行恶意操作而造成的损失；网上交易未及时退出还可能导致遭遇黑客攻击，从而造成损失。</w:t>
      </w:r>
    </w:p>
    <w:p>
      <w:pPr>
        <w:spacing w:line="360" w:lineRule="auto"/>
        <w:ind w:firstLine="435"/>
        <w:rPr>
          <w:rFonts w:ascii="宋体"/>
          <w:sz w:val="24"/>
          <w:szCs w:val="24"/>
        </w:rPr>
      </w:pPr>
      <w:r>
        <w:rPr>
          <w:rFonts w:hint="eastAsia" w:ascii="宋体" w:hAnsi="宋体" w:cs="宋体"/>
          <w:sz w:val="24"/>
          <w:szCs w:val="24"/>
        </w:rPr>
        <w:t>上述风险都将可能会导致投资人发生亏损，该等亏损均由投资人自行承担。在投资人参与交易时，他人给予的保证获利或不会发生亏损的任何承诺都是没有根据的，类似的承诺不会减少发生亏损的可能。</w:t>
      </w:r>
    </w:p>
    <w:p>
      <w:pPr>
        <w:spacing w:line="360" w:lineRule="auto"/>
        <w:rPr>
          <w:rFonts w:ascii="宋体"/>
          <w:sz w:val="24"/>
          <w:szCs w:val="24"/>
        </w:rPr>
      </w:pPr>
    </w:p>
    <w:p>
      <w:pPr>
        <w:spacing w:line="360" w:lineRule="auto"/>
        <w:ind w:firstLine="435"/>
        <w:rPr>
          <w:rFonts w:ascii="宋体"/>
          <w:sz w:val="24"/>
          <w:szCs w:val="24"/>
        </w:rPr>
      </w:pPr>
      <w:r>
        <w:rPr>
          <w:rFonts w:hint="eastAsia" w:ascii="宋体" w:hAnsi="宋体" w:cs="宋体"/>
          <w:sz w:val="24"/>
          <w:szCs w:val="24"/>
        </w:rPr>
        <w:t>本《宁夏文化艺术品产权交易中心投资人会员交易风险提示书》提示事项仅为列举，并不能详细列明从事宁夏文化艺术品产权交易中心线上交易的全部风险和可能影响藏品市场异常波动的所有情形，其他不可预见的风险因素也可能会给投资人带来损失。投资人在进行交易前，应确保自己已经做好足够的风险评估和财务安排，避免因参与交易而遭受难以承受的损失。</w:t>
      </w:r>
    </w:p>
    <w:p>
      <w:pPr>
        <w:spacing w:line="360" w:lineRule="auto"/>
        <w:ind w:firstLine="435"/>
        <w:rPr>
          <w:rFonts w:ascii="宋体"/>
          <w:sz w:val="24"/>
          <w:szCs w:val="24"/>
        </w:rPr>
      </w:pPr>
    </w:p>
    <w:p>
      <w:pPr>
        <w:spacing w:line="360" w:lineRule="auto"/>
        <w:ind w:firstLine="435"/>
        <w:rPr>
          <w:rFonts w:ascii="宋体"/>
          <w:sz w:val="24"/>
          <w:szCs w:val="24"/>
        </w:rPr>
      </w:pPr>
      <w:r>
        <w:rPr>
          <w:rFonts w:hint="eastAsia" w:ascii="宋体" w:hAnsi="宋体" w:cs="宋体"/>
          <w:sz w:val="24"/>
          <w:szCs w:val="24"/>
        </w:rPr>
        <w:t>特别提示：本中心敬告投资人，应当根据自身的经济条件和心理承受能力认真制定交易策略，尤其是投资人决定购买有较大潜在风险的品种时，更应当清醒地认识到该类实物藏品蕴含的风险。</w:t>
      </w:r>
    </w:p>
    <w:p>
      <w:pPr>
        <w:spacing w:line="360" w:lineRule="auto"/>
        <w:ind w:firstLine="435"/>
        <w:rPr>
          <w:rFonts w:ascii="宋体"/>
          <w:sz w:val="24"/>
          <w:szCs w:val="24"/>
        </w:rPr>
      </w:pPr>
      <w:r>
        <w:rPr>
          <w:rFonts w:hint="eastAsia" w:ascii="宋体" w:hAnsi="宋体" w:cs="宋体"/>
          <w:sz w:val="24"/>
          <w:szCs w:val="24"/>
        </w:rPr>
        <w:t>网上实物交易是一种创新的交易模式。投资人在进行交易时存在盈利的可能，也存在亏损的风险。在投资人参与实物交易时，我们郑重地提醒投资人，认真阅读并谨记以下劝导：</w:t>
      </w:r>
    </w:p>
    <w:p>
      <w:pPr>
        <w:spacing w:line="360" w:lineRule="auto"/>
        <w:ind w:firstLine="480" w:firstLineChars="200"/>
        <w:rPr>
          <w:rFonts w:ascii="宋体"/>
          <w:sz w:val="24"/>
          <w:szCs w:val="24"/>
        </w:rPr>
      </w:pPr>
      <w:r>
        <w:rPr>
          <w:rFonts w:ascii="宋体" w:hAnsi="宋体" w:cs="宋体"/>
          <w:sz w:val="24"/>
          <w:szCs w:val="24"/>
        </w:rPr>
        <w:t>1</w:t>
      </w:r>
      <w:r>
        <w:rPr>
          <w:rFonts w:hint="eastAsia" w:ascii="宋体" w:hAnsi="宋体" w:cs="宋体"/>
          <w:sz w:val="24"/>
          <w:szCs w:val="24"/>
        </w:rPr>
        <w:t>、请合理配置个人资产，不要以个人全部资产投入本中心交易市场。</w:t>
      </w:r>
    </w:p>
    <w:p>
      <w:pPr>
        <w:spacing w:line="360" w:lineRule="auto"/>
        <w:ind w:firstLine="480" w:firstLineChars="200"/>
        <w:rPr>
          <w:rFonts w:ascii="宋体"/>
          <w:sz w:val="24"/>
          <w:szCs w:val="24"/>
        </w:rPr>
      </w:pPr>
      <w:r>
        <w:rPr>
          <w:rFonts w:ascii="宋体" w:hAnsi="宋体" w:cs="宋体"/>
          <w:sz w:val="24"/>
          <w:szCs w:val="24"/>
        </w:rPr>
        <w:t>2</w:t>
      </w:r>
      <w:r>
        <w:rPr>
          <w:rFonts w:hint="eastAsia" w:ascii="宋体" w:hAnsi="宋体" w:cs="宋体"/>
          <w:sz w:val="24"/>
          <w:szCs w:val="24"/>
        </w:rPr>
        <w:t>、请理性管理个人财富，不要拿生活必须资金、自用住房抵押贷款或其他借款投入本中心交易市场。</w:t>
      </w:r>
    </w:p>
    <w:p>
      <w:pPr>
        <w:spacing w:line="360" w:lineRule="auto"/>
        <w:ind w:firstLine="480" w:firstLineChars="200"/>
        <w:rPr>
          <w:rFonts w:ascii="宋体"/>
          <w:sz w:val="24"/>
          <w:szCs w:val="24"/>
        </w:rPr>
      </w:pPr>
      <w:r>
        <w:rPr>
          <w:rFonts w:ascii="宋体" w:hAnsi="宋体" w:cs="宋体"/>
          <w:sz w:val="24"/>
          <w:szCs w:val="24"/>
        </w:rPr>
        <w:t>3</w:t>
      </w:r>
      <w:r>
        <w:rPr>
          <w:rFonts w:hint="eastAsia" w:ascii="宋体" w:hAnsi="宋体" w:cs="宋体"/>
          <w:sz w:val="24"/>
          <w:szCs w:val="24"/>
        </w:rPr>
        <w:t>、请客观评估自己投资抗风险能力，选择恰当的投资品种。</w:t>
      </w:r>
    </w:p>
    <w:p>
      <w:pPr>
        <w:spacing w:line="360" w:lineRule="auto"/>
        <w:ind w:firstLine="480" w:firstLineChars="200"/>
        <w:rPr>
          <w:rFonts w:ascii="宋体"/>
          <w:sz w:val="24"/>
          <w:szCs w:val="24"/>
        </w:rPr>
      </w:pPr>
      <w:r>
        <w:rPr>
          <w:rFonts w:ascii="宋体" w:hAnsi="宋体" w:cs="宋体"/>
          <w:sz w:val="24"/>
          <w:szCs w:val="24"/>
        </w:rPr>
        <w:t>4</w:t>
      </w:r>
      <w:r>
        <w:rPr>
          <w:rFonts w:hint="eastAsia" w:ascii="宋体" w:hAnsi="宋体" w:cs="宋体"/>
          <w:sz w:val="24"/>
          <w:szCs w:val="24"/>
        </w:rPr>
        <w:t>、请正确运用投资策略，留有适当资金以备不时之需。</w:t>
      </w:r>
    </w:p>
    <w:p>
      <w:pPr>
        <w:spacing w:line="360" w:lineRule="auto"/>
        <w:ind w:firstLine="480" w:firstLineChars="200"/>
        <w:rPr>
          <w:rFonts w:ascii="宋体"/>
          <w:sz w:val="24"/>
          <w:szCs w:val="24"/>
        </w:rPr>
      </w:pPr>
      <w:r>
        <w:rPr>
          <w:rFonts w:ascii="宋体" w:hAnsi="宋体" w:cs="宋体"/>
          <w:sz w:val="24"/>
          <w:szCs w:val="24"/>
        </w:rPr>
        <w:t>5</w:t>
      </w:r>
      <w:r>
        <w:rPr>
          <w:rFonts w:hint="eastAsia" w:ascii="宋体" w:hAnsi="宋体" w:cs="宋体"/>
          <w:sz w:val="24"/>
          <w:szCs w:val="24"/>
        </w:rPr>
        <w:t>、请认真了解所投资的藏品，不能仅凭市场传言盲目操作。</w:t>
      </w:r>
    </w:p>
    <w:p>
      <w:pPr>
        <w:spacing w:line="360" w:lineRule="auto"/>
        <w:ind w:firstLine="480" w:firstLineChars="200"/>
        <w:rPr>
          <w:rFonts w:ascii="宋体"/>
          <w:sz w:val="24"/>
          <w:szCs w:val="24"/>
        </w:rPr>
      </w:pPr>
      <w:r>
        <w:rPr>
          <w:rFonts w:ascii="宋体" w:hAnsi="宋体" w:cs="宋体"/>
          <w:sz w:val="24"/>
          <w:szCs w:val="24"/>
        </w:rPr>
        <w:t>6</w:t>
      </w:r>
      <w:r>
        <w:rPr>
          <w:rFonts w:hint="eastAsia" w:ascii="宋体" w:hAnsi="宋体" w:cs="宋体"/>
          <w:sz w:val="24"/>
          <w:szCs w:val="24"/>
        </w:rPr>
        <w:t>、请认真了解并掌握投资所需的必要知识和相关法规，提高自我保护的能力。</w:t>
      </w:r>
    </w:p>
    <w:p>
      <w:pPr>
        <w:spacing w:line="360" w:lineRule="auto"/>
        <w:ind w:firstLine="480" w:firstLineChars="200"/>
        <w:rPr>
          <w:rFonts w:ascii="宋体"/>
          <w:sz w:val="24"/>
          <w:szCs w:val="24"/>
        </w:rPr>
      </w:pPr>
      <w:r>
        <w:rPr>
          <w:rFonts w:hint="eastAsia" w:ascii="宋体" w:hAnsi="宋体" w:cs="宋体"/>
          <w:sz w:val="24"/>
          <w:szCs w:val="24"/>
        </w:rPr>
        <w:t>本中心没有授权任何个人或组织进行藏品委托投资理财业务，为保护投资人的合法权益，请不要与任何人签订藏品交易委托代理协议，否则由此引起的一切后果将由投资人承担。</w:t>
      </w:r>
    </w:p>
    <w:p>
      <w:pPr>
        <w:spacing w:line="360" w:lineRule="auto"/>
        <w:ind w:firstLine="435"/>
        <w:rPr>
          <w:rFonts w:ascii="宋体"/>
          <w:sz w:val="24"/>
          <w:szCs w:val="24"/>
        </w:rPr>
      </w:pPr>
      <w:r>
        <w:rPr>
          <w:rFonts w:hint="eastAsia" w:ascii="宋体" w:hAnsi="宋体" w:cs="宋体"/>
          <w:sz w:val="24"/>
          <w:szCs w:val="24"/>
        </w:rPr>
        <w:t>本中心郑重提醒投资人，文化藏品投资是一种风险投资，请分清投资与投机、风险和收益之间的关系，树立正确的投资理念，谨慎入市，理性操作，注意身心健康与资金安全。</w:t>
      </w:r>
    </w:p>
    <w:p>
      <w:pPr>
        <w:spacing w:line="360" w:lineRule="auto"/>
        <w:ind w:firstLine="435"/>
        <w:rPr>
          <w:rFonts w:ascii="宋体"/>
          <w:sz w:val="24"/>
          <w:szCs w:val="24"/>
        </w:rPr>
      </w:pPr>
      <w:r>
        <w:rPr>
          <w:rFonts w:hint="eastAsia" w:ascii="宋体" w:hAnsi="宋体" w:cs="宋体"/>
          <w:sz w:val="24"/>
          <w:szCs w:val="24"/>
        </w:rPr>
        <w:t>本风险提示书并不能提示从事藏品交易的全部风险及藏品市场的全部情形。投资人务必对此有清醒的认识。</w:t>
      </w:r>
    </w:p>
    <w:p>
      <w:pPr>
        <w:spacing w:line="360" w:lineRule="auto"/>
        <w:ind w:firstLine="435"/>
        <w:rPr>
          <w:rFonts w:ascii="宋体"/>
          <w:sz w:val="24"/>
          <w:szCs w:val="24"/>
        </w:rPr>
      </w:pPr>
      <w:r>
        <w:rPr>
          <w:rFonts w:hint="eastAsia" w:ascii="宋体" w:hAnsi="宋体" w:cs="宋体"/>
          <w:sz w:val="24"/>
          <w:szCs w:val="24"/>
        </w:rPr>
        <w:t>“投资有风险，入市须谨慎”。请切记风险！</w:t>
      </w:r>
    </w:p>
    <w:p>
      <w:pPr>
        <w:spacing w:line="360" w:lineRule="auto"/>
        <w:ind w:firstLine="522" w:firstLineChars="200"/>
        <w:rPr>
          <w:rFonts w:ascii="仿宋_GB2312" w:hAnsi="宋体" w:eastAsia="仿宋_GB2312"/>
          <w:b/>
          <w:bCs/>
          <w:sz w:val="26"/>
          <w:szCs w:val="26"/>
        </w:rPr>
      </w:pPr>
      <w:r>
        <w:rPr>
          <w:rFonts w:hint="eastAsia" w:ascii="仿宋_GB2312" w:hAnsi="宋体" w:eastAsia="仿宋_GB2312" w:cs="仿宋_GB2312"/>
          <w:b/>
          <w:bCs/>
          <w:sz w:val="26"/>
          <w:szCs w:val="26"/>
        </w:rPr>
        <w:t>以上《宁夏文化艺术品产权交易中心投资人会员交易风险提示书》本人</w:t>
      </w:r>
      <w:r>
        <w:rPr>
          <w:rFonts w:ascii="仿宋_GB2312" w:hAnsi="宋体" w:eastAsia="仿宋_GB2312" w:cs="仿宋_GB2312"/>
          <w:b/>
          <w:bCs/>
          <w:sz w:val="26"/>
          <w:szCs w:val="26"/>
        </w:rPr>
        <w:t>/</w:t>
      </w:r>
      <w:r>
        <w:rPr>
          <w:rFonts w:hint="eastAsia" w:ascii="仿宋_GB2312" w:hAnsi="宋体" w:eastAsia="仿宋_GB2312" w:cs="仿宋_GB2312"/>
          <w:b/>
          <w:bCs/>
          <w:sz w:val="26"/>
          <w:szCs w:val="26"/>
        </w:rPr>
        <w:t>机构已阅读并完全理解，愿意自行承担藏品交易市场的各种风险。</w:t>
      </w:r>
    </w:p>
    <w:p>
      <w:pPr>
        <w:spacing w:line="480" w:lineRule="auto"/>
        <w:ind w:firstLine="520" w:firstLineChars="200"/>
        <w:rPr>
          <w:rFonts w:ascii="仿宋_GB2312" w:hAnsi="宋体" w:eastAsia="仿宋_GB2312" w:cs="仿宋_GB2312"/>
          <w:sz w:val="26"/>
          <w:szCs w:val="26"/>
        </w:rPr>
      </w:pPr>
      <w:r>
        <w:rPr>
          <w:rFonts w:ascii="仿宋_GB2312" w:hAnsi="宋体" w:eastAsia="仿宋_GB2312" w:cs="仿宋_GB2312"/>
          <w:sz w:val="26"/>
          <w:szCs w:val="26"/>
        </w:rPr>
        <w:t xml:space="preserve">                 </w:t>
      </w:r>
    </w:p>
    <w:p>
      <w:pPr>
        <w:spacing w:line="480" w:lineRule="auto"/>
        <w:ind w:firstLine="2610" w:firstLineChars="1000"/>
        <w:rPr>
          <w:rFonts w:ascii="仿宋_GB2312" w:hAnsi="宋体" w:eastAsia="仿宋_GB2312"/>
          <w:sz w:val="26"/>
          <w:szCs w:val="26"/>
        </w:rPr>
      </w:pPr>
      <w:r>
        <w:rPr>
          <w:rFonts w:ascii="仿宋_GB2312" w:hAnsi="宋体" w:eastAsia="仿宋_GB2312" w:cs="仿宋_GB2312"/>
          <w:b/>
          <w:bCs/>
          <w:sz w:val="26"/>
          <w:szCs w:val="26"/>
        </w:rPr>
        <w:t xml:space="preserve"> </w:t>
      </w:r>
      <w:r>
        <w:rPr>
          <w:rFonts w:hint="eastAsia" w:ascii="仿宋_GB2312" w:hAnsi="宋体" w:eastAsia="仿宋_GB2312" w:cs="仿宋_GB2312"/>
          <w:b/>
          <w:bCs/>
          <w:sz w:val="26"/>
          <w:szCs w:val="26"/>
        </w:rPr>
        <w:t>投资人（签字</w:t>
      </w:r>
      <w:r>
        <w:rPr>
          <w:rFonts w:ascii="仿宋_GB2312" w:hAnsi="宋体" w:eastAsia="仿宋_GB2312" w:cs="仿宋_GB2312"/>
          <w:b/>
          <w:bCs/>
          <w:sz w:val="26"/>
          <w:szCs w:val="26"/>
        </w:rPr>
        <w:t>/</w:t>
      </w:r>
      <w:r>
        <w:rPr>
          <w:rFonts w:hint="eastAsia" w:ascii="仿宋_GB2312" w:hAnsi="宋体" w:eastAsia="仿宋_GB2312" w:cs="仿宋_GB2312"/>
          <w:b/>
          <w:bCs/>
          <w:sz w:val="26"/>
          <w:szCs w:val="26"/>
        </w:rPr>
        <w:t>盖章）：</w:t>
      </w:r>
    </w:p>
    <w:p>
      <w:pPr>
        <w:spacing w:line="480" w:lineRule="auto"/>
        <w:ind w:firstLine="522" w:firstLineChars="200"/>
        <w:rPr>
          <w:rFonts w:ascii="仿宋_GB2312" w:hAnsi="宋体" w:eastAsia="仿宋_GB2312"/>
          <w:b/>
          <w:bCs/>
          <w:sz w:val="26"/>
          <w:szCs w:val="26"/>
        </w:rPr>
      </w:pPr>
    </w:p>
    <w:p>
      <w:pPr>
        <w:widowControl/>
        <w:spacing w:line="360" w:lineRule="auto"/>
        <w:jc w:val="left"/>
        <w:rPr>
          <w:rFonts w:ascii="仿宋_GB2312" w:hAnsi="宋体" w:eastAsia="仿宋_GB2312" w:cs="仿宋_GB2312"/>
          <w:sz w:val="26"/>
          <w:szCs w:val="26"/>
        </w:rPr>
      </w:pPr>
      <w:r>
        <w:rPr>
          <w:rFonts w:ascii="仿宋_GB2312" w:hAnsi="宋体" w:eastAsia="仿宋_GB2312" w:cs="仿宋_GB2312"/>
          <w:b/>
          <w:bCs/>
          <w:sz w:val="26"/>
          <w:szCs w:val="26"/>
        </w:rPr>
        <w:t xml:space="preserve">                                       </w:t>
      </w:r>
      <w:r>
        <w:rPr>
          <w:rFonts w:hint="eastAsia" w:ascii="仿宋_GB2312" w:hAnsi="宋体" w:eastAsia="仿宋_GB2312" w:cs="仿宋_GB2312"/>
          <w:b/>
          <w:bCs/>
          <w:sz w:val="26"/>
          <w:szCs w:val="26"/>
        </w:rPr>
        <w:t>年</w:t>
      </w:r>
      <w:r>
        <w:rPr>
          <w:rFonts w:ascii="仿宋_GB2312" w:hAnsi="宋体" w:eastAsia="仿宋_GB2312" w:cs="仿宋_GB2312"/>
          <w:b/>
          <w:bCs/>
          <w:sz w:val="26"/>
          <w:szCs w:val="26"/>
        </w:rPr>
        <w:t xml:space="preserve">      </w:t>
      </w:r>
      <w:r>
        <w:rPr>
          <w:rFonts w:hint="eastAsia" w:ascii="仿宋_GB2312" w:hAnsi="宋体" w:eastAsia="仿宋_GB2312" w:cs="仿宋_GB2312"/>
          <w:b/>
          <w:bCs/>
          <w:sz w:val="26"/>
          <w:szCs w:val="26"/>
        </w:rPr>
        <w:t>月</w:t>
      </w:r>
      <w:r>
        <w:rPr>
          <w:rFonts w:ascii="仿宋_GB2312" w:hAnsi="宋体" w:eastAsia="仿宋_GB2312" w:cs="仿宋_GB2312"/>
          <w:b/>
          <w:bCs/>
          <w:sz w:val="26"/>
          <w:szCs w:val="26"/>
        </w:rPr>
        <w:t xml:space="preserve">      </w:t>
      </w:r>
      <w:r>
        <w:rPr>
          <w:rFonts w:hint="eastAsia" w:ascii="仿宋_GB2312" w:hAnsi="宋体" w:eastAsia="仿宋_GB2312" w:cs="仿宋_GB2312"/>
          <w:b/>
          <w:bCs/>
          <w:sz w:val="26"/>
          <w:szCs w:val="26"/>
        </w:rPr>
        <w:t>日</w:t>
      </w:r>
      <w:r>
        <w:rPr>
          <w:rFonts w:ascii="仿宋_GB2312" w:hAnsi="宋体" w:eastAsia="仿宋_GB2312" w:cs="仿宋_GB2312"/>
          <w:sz w:val="26"/>
          <w:szCs w:val="26"/>
        </w:rPr>
        <w:t xml:space="preserve">    </w:t>
      </w:r>
    </w:p>
    <w:p>
      <w:pPr>
        <w:ind w:right="84" w:rightChars="40"/>
        <w:rPr>
          <w:rFonts w:ascii="新宋体" w:hAnsi="新宋体" w:eastAsia="新宋体"/>
          <w:color w:val="000000"/>
        </w:rPr>
      </w:pPr>
    </w:p>
    <w:sectPr>
      <w:pgSz w:w="11906" w:h="16838"/>
      <w:pgMar w:top="1440" w:right="17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5F" w:usb2="00000000" w:usb3="00000000" w:csb0="2000019F" w:csb1="00000000"/>
  </w:font>
  <w:font w:name="新宋体">
    <w:panose1 w:val="02010609030101010101"/>
    <w:charset w:val="86"/>
    <w:family w:val="auto"/>
    <w:pitch w:val="default"/>
    <w:sig w:usb0="00000003" w:usb1="288F0000" w:usb2="00000006" w:usb3="00000000" w:csb0="00040001" w:csb1="00000000"/>
  </w:font>
  <w:font w:name="仿宋_GB2312">
    <w:altName w:val="仿宋"/>
    <w:panose1 w:val="00000000000000000000"/>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王金彦行书20123800">
    <w:panose1 w:val="00000500000000000000"/>
    <w:charset w:val="86"/>
    <w:family w:val="auto"/>
    <w:pitch w:val="default"/>
    <w:sig w:usb0="00000000" w:usb1="38CD7000" w:usb2="00000006" w:usb3="00000000" w:csb0="001E0001" w:csb1="00000000"/>
  </w:font>
  <w:font w:name="叶根友行书繁">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
    <w:nsid w:val="0000000A"/>
    <w:multiLevelType w:val="multilevel"/>
    <w:tmpl w:val="0000000A"/>
    <w:lvl w:ilvl="0" w:tentative="1">
      <w:start w:val="1"/>
      <w:numFmt w:val="chineseCountingThousand"/>
      <w:lvlText w:val="第%1条"/>
      <w:lvlJc w:val="left"/>
      <w:pPr>
        <w:ind w:left="1260" w:hanging="900"/>
      </w:pPr>
      <w:rPr>
        <w:rFonts w:hint="default" w:cs="Times New Roman"/>
        <w:sz w:val="20"/>
        <w:szCs w:val="24"/>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num w:numId="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365C4"/>
    <w:rsid w:val="000837D9"/>
    <w:rsid w:val="000B0F28"/>
    <w:rsid w:val="000C4A3D"/>
    <w:rsid w:val="000E29BC"/>
    <w:rsid w:val="000F1400"/>
    <w:rsid w:val="001024D5"/>
    <w:rsid w:val="00124A77"/>
    <w:rsid w:val="00153E75"/>
    <w:rsid w:val="00172A27"/>
    <w:rsid w:val="00174F6A"/>
    <w:rsid w:val="00236DAA"/>
    <w:rsid w:val="002D7350"/>
    <w:rsid w:val="002F4135"/>
    <w:rsid w:val="00301BF4"/>
    <w:rsid w:val="00333253"/>
    <w:rsid w:val="00352035"/>
    <w:rsid w:val="00372DE8"/>
    <w:rsid w:val="00391BF3"/>
    <w:rsid w:val="00392670"/>
    <w:rsid w:val="00431D6A"/>
    <w:rsid w:val="00456AE2"/>
    <w:rsid w:val="00494211"/>
    <w:rsid w:val="004B2AAF"/>
    <w:rsid w:val="004C0EB0"/>
    <w:rsid w:val="00531FFD"/>
    <w:rsid w:val="00566021"/>
    <w:rsid w:val="00582EAA"/>
    <w:rsid w:val="005A2015"/>
    <w:rsid w:val="005C018F"/>
    <w:rsid w:val="005C65E5"/>
    <w:rsid w:val="005D5D5F"/>
    <w:rsid w:val="00611ACD"/>
    <w:rsid w:val="00632267"/>
    <w:rsid w:val="00642F46"/>
    <w:rsid w:val="00647671"/>
    <w:rsid w:val="00650119"/>
    <w:rsid w:val="006A339A"/>
    <w:rsid w:val="006C02FC"/>
    <w:rsid w:val="00701673"/>
    <w:rsid w:val="007452BA"/>
    <w:rsid w:val="00747745"/>
    <w:rsid w:val="00774D77"/>
    <w:rsid w:val="007B6BC2"/>
    <w:rsid w:val="007D38DA"/>
    <w:rsid w:val="00814714"/>
    <w:rsid w:val="0082104D"/>
    <w:rsid w:val="00890BE0"/>
    <w:rsid w:val="0089342B"/>
    <w:rsid w:val="0089390B"/>
    <w:rsid w:val="009C1091"/>
    <w:rsid w:val="009F6C53"/>
    <w:rsid w:val="00A01067"/>
    <w:rsid w:val="00A24754"/>
    <w:rsid w:val="00A34460"/>
    <w:rsid w:val="00A55820"/>
    <w:rsid w:val="00A955EA"/>
    <w:rsid w:val="00AA48CB"/>
    <w:rsid w:val="00B154A9"/>
    <w:rsid w:val="00B759CE"/>
    <w:rsid w:val="00B93885"/>
    <w:rsid w:val="00BF425F"/>
    <w:rsid w:val="00BF5FC7"/>
    <w:rsid w:val="00C0199A"/>
    <w:rsid w:val="00C1381D"/>
    <w:rsid w:val="00C2619D"/>
    <w:rsid w:val="00C31B1B"/>
    <w:rsid w:val="00C51C90"/>
    <w:rsid w:val="00C64E41"/>
    <w:rsid w:val="00C70D38"/>
    <w:rsid w:val="00C75238"/>
    <w:rsid w:val="00CD0947"/>
    <w:rsid w:val="00CE4F30"/>
    <w:rsid w:val="00CF77BB"/>
    <w:rsid w:val="00D053A4"/>
    <w:rsid w:val="00D1329F"/>
    <w:rsid w:val="00D24E70"/>
    <w:rsid w:val="00D355A5"/>
    <w:rsid w:val="00D431C2"/>
    <w:rsid w:val="00D54F95"/>
    <w:rsid w:val="00D558D1"/>
    <w:rsid w:val="00D6470C"/>
    <w:rsid w:val="00DD0CFF"/>
    <w:rsid w:val="00E44B30"/>
    <w:rsid w:val="00E74D97"/>
    <w:rsid w:val="00E7751F"/>
    <w:rsid w:val="00EE65DA"/>
    <w:rsid w:val="00EE6AB0"/>
    <w:rsid w:val="00F31B23"/>
    <w:rsid w:val="00F821E6"/>
    <w:rsid w:val="00FB2D1F"/>
    <w:rsid w:val="00FE7C9C"/>
    <w:rsid w:val="12082FDC"/>
  </w:rsids>
  <w:doNotAutoCompressPicture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0" w:name="Normal Indent" w:locked="1"/>
    <w:lsdException w:uiPriority="0" w:name="footnote text" w:locked="1"/>
    <w:lsdException w:uiPriority="0" w:name="annotation text" w:locked="1"/>
    <w:lsdException w:unhideWhenUsed="0" w:uiPriority="99" w:semiHidden="0" w:name="header"/>
    <w:lsdException w:unhideWhenUsed="0" w:uiPriority="99" w:semiHidden="0" w:name="footer"/>
    <w:lsdException w:uiPriority="0" w:name="index heading" w:locked="1"/>
    <w:lsdException w:qFormat="1" w:uiPriority="0" w:name="caption"/>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sdException w:uiPriority="0" w:name="Closing" w:locked="1"/>
    <w:lsdException w:uiPriority="0" w:name="Signature" w:locked="1"/>
    <w:lsdException w:uiPriority="1" w:name="Default Paragraph Font"/>
    <w:lsdException w:uiPriority="0" w:name="Body Text" w:locked="1"/>
    <w:lsdException w:uiPriority="0" w:name="Body Text Indent" w:locked="1"/>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sdException w:uiPriority="0" w:name="Salutation" w:locked="1"/>
    <w:lsdException w:uiPriority="0" w:name="Date" w:locked="1"/>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iPriority="0" w:name="Hyperlink" w:locked="1"/>
    <w:lsdException w:uiPriority="0" w:name="FollowedHyperlink" w:locked="1"/>
    <w:lsdException w:qFormat="1" w:unhideWhenUsed="0" w:uiPriority="0" w:semiHidden="0" w:name="Strong"/>
    <w:lsdException w:qFormat="1" w:unhideWhenUsed="0" w:uiPriority="0" w:semiHidden="0" w:name="Emphasis"/>
    <w:lsdException w:uiPriority="0" w:name="Document Map" w:locked="1"/>
    <w:lsdException w:uiPriority="0" w:name="Plain Text" w:locked="1"/>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uiPriority="99" w:name="Normal Table"/>
    <w:lsdException w:uiPriority="0" w:name="annotation subject" w:locked="1"/>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unhideWhenUsed="0" w:uiPriority="99" w:name="Balloon Text"/>
    <w:lsdException w:unhideWhenUsed="0" w:uiPriority="0" w:semiHidden="0" w:name="Table Grid"/>
    <w:lsdException w:uiPriority="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8"/>
    <w:qFormat/>
    <w:uiPriority w:val="99"/>
    <w:pPr>
      <w:keepNext/>
      <w:spacing w:before="240" w:after="60"/>
      <w:outlineLvl w:val="0"/>
    </w:pPr>
    <w:rPr>
      <w:rFonts w:ascii="Cambria" w:hAnsi="Cambria" w:cs="Cambria"/>
      <w:b/>
      <w:bCs/>
      <w:kern w:val="32"/>
      <w:sz w:val="32"/>
      <w:szCs w:val="32"/>
    </w:rPr>
  </w:style>
  <w:style w:type="character" w:default="1" w:styleId="6">
    <w:name w:val="Default Paragraph Font"/>
    <w:unhideWhenUsed/>
    <w:uiPriority w:val="1"/>
  </w:style>
  <w:style w:type="table" w:default="1" w:styleId="7">
    <w:name w:val="Normal Table"/>
    <w:unhideWhenUsed/>
    <w:uiPriority w:val="99"/>
    <w:tblPr>
      <w:tblStyle w:val="7"/>
      <w:tblLayout w:type="fixed"/>
      <w:tblCellMar>
        <w:top w:w="0" w:type="dxa"/>
        <w:left w:w="108" w:type="dxa"/>
        <w:bottom w:w="0" w:type="dxa"/>
        <w:right w:w="108" w:type="dxa"/>
      </w:tblCellMar>
    </w:tblPr>
    <w:tcPr>
      <w:textDirection w:val="lrTb"/>
    </w:tcPr>
  </w:style>
  <w:style w:type="paragraph" w:styleId="3">
    <w:name w:val="Balloon Text"/>
    <w:basedOn w:val="1"/>
    <w:link w:val="14"/>
    <w:semiHidden/>
    <w:uiPriority w:val="99"/>
    <w:rPr>
      <w:kern w:val="0"/>
      <w:sz w:val="18"/>
      <w:szCs w:val="20"/>
    </w:rPr>
  </w:style>
  <w:style w:type="paragraph" w:styleId="4">
    <w:name w:val="footer"/>
    <w:basedOn w:val="1"/>
    <w:link w:val="12"/>
    <w:uiPriority w:val="99"/>
    <w:pPr>
      <w:tabs>
        <w:tab w:val="center" w:pos="4153"/>
        <w:tab w:val="right" w:pos="8306"/>
      </w:tabs>
      <w:snapToGrid w:val="0"/>
      <w:jc w:val="left"/>
    </w:pPr>
    <w:rPr>
      <w:kern w:val="0"/>
      <w:sz w:val="18"/>
      <w:szCs w:val="20"/>
    </w:rPr>
  </w:style>
  <w:style w:type="paragraph" w:styleId="5">
    <w:name w:val="header"/>
    <w:basedOn w:val="1"/>
    <w:link w:val="13"/>
    <w:uiPriority w:val="99"/>
    <w:pPr>
      <w:pBdr>
        <w:bottom w:val="single" w:color="auto" w:sz="6" w:space="1"/>
      </w:pBdr>
      <w:tabs>
        <w:tab w:val="center" w:pos="4153"/>
        <w:tab w:val="right" w:pos="8306"/>
      </w:tabs>
      <w:snapToGrid w:val="0"/>
      <w:jc w:val="center"/>
    </w:pPr>
    <w:rPr>
      <w:kern w:val="0"/>
      <w:sz w:val="18"/>
      <w:szCs w:val="20"/>
    </w:rPr>
  </w:style>
  <w:style w:type="character" w:customStyle="1" w:styleId="8">
    <w:name w:val="标题 1 Char"/>
    <w:link w:val="2"/>
    <w:locked/>
    <w:uiPriority w:val="99"/>
    <w:rPr>
      <w:rFonts w:ascii="Cambria" w:hAnsi="Cambria" w:eastAsia="宋体" w:cs="Cambria"/>
      <w:b/>
      <w:bCs/>
      <w:kern w:val="32"/>
      <w:sz w:val="32"/>
      <w:szCs w:val="32"/>
    </w:rPr>
  </w:style>
  <w:style w:type="character" w:customStyle="1" w:styleId="9">
    <w:name w:val="Balloon Text Char"/>
    <w:locked/>
    <w:uiPriority w:val="99"/>
    <w:rPr>
      <w:rFonts w:ascii="Times New Roman" w:hAnsi="Times New Roman" w:eastAsia="宋体"/>
      <w:sz w:val="18"/>
    </w:rPr>
  </w:style>
  <w:style w:type="character" w:customStyle="1" w:styleId="10">
    <w:name w:val="Footer Char"/>
    <w:locked/>
    <w:uiPriority w:val="99"/>
    <w:rPr>
      <w:rFonts w:ascii="Times New Roman" w:hAnsi="Times New Roman" w:eastAsia="宋体"/>
      <w:sz w:val="18"/>
    </w:rPr>
  </w:style>
  <w:style w:type="character" w:customStyle="1" w:styleId="11">
    <w:name w:val="Header Char"/>
    <w:locked/>
    <w:uiPriority w:val="99"/>
    <w:rPr>
      <w:rFonts w:ascii="Times New Roman" w:hAnsi="Times New Roman" w:eastAsia="宋体"/>
      <w:sz w:val="18"/>
    </w:rPr>
  </w:style>
  <w:style w:type="character" w:customStyle="1" w:styleId="12">
    <w:name w:val="页脚 Char"/>
    <w:link w:val="4"/>
    <w:semiHidden/>
    <w:locked/>
    <w:uiPriority w:val="99"/>
    <w:rPr>
      <w:rFonts w:ascii="Times New Roman" w:hAnsi="Times New Roman" w:cs="Times New Roman"/>
      <w:sz w:val="18"/>
      <w:szCs w:val="18"/>
    </w:rPr>
  </w:style>
  <w:style w:type="character" w:customStyle="1" w:styleId="13">
    <w:name w:val="页眉 Char"/>
    <w:link w:val="5"/>
    <w:semiHidden/>
    <w:locked/>
    <w:uiPriority w:val="99"/>
    <w:rPr>
      <w:rFonts w:ascii="Times New Roman" w:hAnsi="Times New Roman" w:cs="Times New Roman"/>
      <w:sz w:val="18"/>
      <w:szCs w:val="18"/>
    </w:rPr>
  </w:style>
  <w:style w:type="character" w:customStyle="1" w:styleId="14">
    <w:name w:val="批注框文本 Char"/>
    <w:link w:val="3"/>
    <w:semiHidden/>
    <w:locked/>
    <w:uiPriority w:val="99"/>
    <w:rPr>
      <w:rFonts w:ascii="Times New Roman" w:hAnsi="Times New Roman" w:cs="Times New Roman"/>
      <w:sz w:val="2"/>
      <w:szCs w:val="2"/>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IE361.COM</Company>
  <Pages>6</Pages>
  <Words>569</Words>
  <Characters>3245</Characters>
  <Lines>27</Lines>
  <Paragraphs>7</Paragraphs>
  <TotalTime>0</TotalTime>
  <ScaleCrop>false</ScaleCrop>
  <LinksUpToDate>false</LinksUpToDate>
  <CharactersWithSpaces>0</CharactersWithSpaces>
  <Application>WPS Office 个人版_9.1.0.4984_{F1E327BC-269C-435d-A152-05C5408002CA}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2013-11-22T03:35:00Z</dcterms:created>
  <dc:creator>WJS</dc:creator>
  <cp:lastModifiedBy>Administrator</cp:lastModifiedBy>
  <cp:lastPrinted>2013-11-22T04:53:00Z</cp:lastPrinted>
  <dcterms:modified xsi:type="dcterms:W3CDTF">2015-03-12T10:49:31Z</dcterms:modified>
  <dc:title>钱币邮票藏品挂牌申请书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2052-9.1.0.4984</vt:lpwstr>
  </property>
</Properties>
</file>